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79BEFED" w14:textId="77777777" w:rsidR="00446F34" w:rsidRPr="00470D68" w:rsidRDefault="0044473A" w:rsidP="00470D68">
      <w:pPr>
        <w:spacing w:after="0"/>
        <w:ind w:left="426"/>
        <w:rPr>
          <w:sz w:val="10"/>
          <w:szCs w:val="10"/>
        </w:rPr>
      </w:pPr>
      <w:r>
        <w:rPr>
          <w:sz w:val="48"/>
          <w:szCs w:val="48"/>
        </w:rPr>
        <w:t xml:space="preserve">       </w:t>
      </w:r>
    </w:p>
    <w:p w14:paraId="3618F2E3" w14:textId="77777777" w:rsidR="0066225E" w:rsidRDefault="0066225E" w:rsidP="00470D68">
      <w:pPr>
        <w:jc w:val="center"/>
        <w:rPr>
          <w:rFonts w:ascii="Century Gothic" w:eastAsia="Arial" w:hAnsi="Century Gothic" w:cs="Arial"/>
          <w:b/>
          <w:color w:val="0F243E" w:themeColor="text2" w:themeShade="80"/>
          <w:sz w:val="24"/>
          <w:szCs w:val="24"/>
          <w:u w:val="single"/>
        </w:rPr>
      </w:pPr>
    </w:p>
    <w:p w14:paraId="74502E89" w14:textId="786782FC" w:rsidR="00446F34" w:rsidRPr="00470D68" w:rsidRDefault="00470D68" w:rsidP="00470D68">
      <w:pPr>
        <w:jc w:val="center"/>
        <w:rPr>
          <w:rFonts w:ascii="Century Gothic" w:eastAsia="Arial" w:hAnsi="Century Gothic" w:cs="Arial"/>
          <w:b/>
          <w:color w:val="0F243E" w:themeColor="text2" w:themeShade="80"/>
          <w:sz w:val="24"/>
          <w:szCs w:val="24"/>
          <w:u w:val="single"/>
        </w:rPr>
      </w:pPr>
      <w:r w:rsidRPr="00470D68">
        <w:rPr>
          <w:rFonts w:ascii="Century Gothic" w:eastAsia="Arial" w:hAnsi="Century Gothic" w:cs="Arial"/>
          <w:b/>
          <w:color w:val="0F243E" w:themeColor="text2" w:themeShade="80"/>
          <w:sz w:val="24"/>
          <w:szCs w:val="24"/>
          <w:u w:val="single"/>
        </w:rPr>
        <w:t xml:space="preserve">Polehampton CE Schools - </w:t>
      </w:r>
      <w:r w:rsidR="0066225E">
        <w:rPr>
          <w:rFonts w:ascii="Century Gothic" w:eastAsia="Arial" w:hAnsi="Century Gothic" w:cs="Arial"/>
          <w:b/>
          <w:color w:val="0F243E" w:themeColor="text2" w:themeShade="80"/>
          <w:sz w:val="24"/>
          <w:szCs w:val="24"/>
          <w:u w:val="single"/>
        </w:rPr>
        <w:t>French</w:t>
      </w:r>
      <w:bookmarkStart w:id="0" w:name="_GoBack"/>
      <w:bookmarkEnd w:id="0"/>
    </w:p>
    <w:p w14:paraId="1DCF38D2" w14:textId="37704E87" w:rsidR="0066225E" w:rsidRPr="0066225E" w:rsidRDefault="0066225E" w:rsidP="0066225E">
      <w:pPr>
        <w:jc w:val="center"/>
        <w:rPr>
          <w:rFonts w:ascii="Bradley Hand ITC" w:hAnsi="Bradley Hand ITC"/>
        </w:rPr>
      </w:pPr>
      <w:bookmarkStart w:id="1" w:name="_gjdgxs" w:colFirst="0" w:colLast="0"/>
      <w:bookmarkEnd w:id="1"/>
      <w:r w:rsidRPr="0066225E">
        <w:rPr>
          <w:rFonts w:ascii="Bradley Hand ITC" w:hAnsi="Bradley Hand ITC"/>
        </w:rPr>
        <w:t>‘One language sets you in a corridor for life. Two languages open every door along the way’ Franck Smith</w:t>
      </w:r>
    </w:p>
    <w:p w14:paraId="52144531" w14:textId="77777777" w:rsidR="0066225E" w:rsidRPr="0066225E" w:rsidRDefault="0066225E" w:rsidP="0066225E">
      <w:pPr>
        <w:jc w:val="both"/>
        <w:rPr>
          <w:rFonts w:ascii="Century Gothic" w:hAnsi="Century Gothic"/>
          <w:b/>
          <w:color w:val="0F243E" w:themeColor="text2" w:themeShade="80"/>
          <w:sz w:val="20"/>
          <w:szCs w:val="20"/>
          <w:u w:val="single"/>
        </w:rPr>
      </w:pPr>
      <w:bookmarkStart w:id="2" w:name="_x4p93toyovft" w:colFirst="0" w:colLast="0"/>
      <w:bookmarkEnd w:id="2"/>
      <w:r w:rsidRPr="0066225E">
        <w:rPr>
          <w:rFonts w:ascii="Century Gothic" w:hAnsi="Century Gothic"/>
          <w:b/>
          <w:color w:val="0F243E" w:themeColor="text2" w:themeShade="80"/>
          <w:sz w:val="20"/>
          <w:szCs w:val="20"/>
          <w:u w:val="single"/>
        </w:rPr>
        <w:t>National Curriculum Purpose of Study</w:t>
      </w:r>
    </w:p>
    <w:p w14:paraId="6EAF5572" w14:textId="77777777" w:rsidR="0066225E" w:rsidRPr="0066225E" w:rsidRDefault="0066225E" w:rsidP="0066225E">
      <w:pPr>
        <w:jc w:val="both"/>
        <w:rPr>
          <w:rFonts w:ascii="Century Gothic" w:eastAsia="Arial" w:hAnsi="Century Gothic" w:cs="Arial"/>
          <w:b/>
          <w:color w:val="0F243E" w:themeColor="text2" w:themeShade="80"/>
          <w:sz w:val="20"/>
          <w:szCs w:val="20"/>
        </w:rPr>
      </w:pPr>
      <w:r w:rsidRPr="0066225E">
        <w:rPr>
          <w:rFonts w:ascii="Century Gothic" w:hAnsi="Century Gothic"/>
          <w:color w:val="0F243E" w:themeColor="text2" w:themeShade="80"/>
          <w:sz w:val="20"/>
          <w:szCs w:val="20"/>
          <w:highlight w:val="white"/>
        </w:rPr>
        <w:t>Learning a foreign language is a liberation from insularity and provides an opening to other cultures. A 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 languages, equipping pupils to study and work in other countries.</w:t>
      </w:r>
    </w:p>
    <w:p w14:paraId="06C7596E" w14:textId="52A9770A" w:rsidR="00446F34" w:rsidRDefault="0044473A" w:rsidP="00470D68">
      <w:pPr>
        <w:spacing w:line="240" w:lineRule="auto"/>
        <w:jc w:val="center"/>
        <w:rPr>
          <w:rFonts w:ascii="Century Gothic" w:eastAsia="Arial" w:hAnsi="Century Gothic" w:cs="Arial"/>
          <w:b/>
          <w:color w:val="0F243E" w:themeColor="text2" w:themeShade="80"/>
          <w:sz w:val="20"/>
          <w:szCs w:val="20"/>
          <w:u w:val="single"/>
        </w:rPr>
      </w:pPr>
      <w:r w:rsidRPr="00470D68">
        <w:rPr>
          <w:rFonts w:ascii="Century Gothic" w:eastAsia="Arial" w:hAnsi="Century Gothic" w:cs="Arial"/>
          <w:b/>
          <w:color w:val="0F243E" w:themeColor="text2" w:themeShade="80"/>
          <w:sz w:val="20"/>
          <w:szCs w:val="20"/>
          <w:u w:val="single"/>
        </w:rPr>
        <w:t>Learner Characteristics</w:t>
      </w:r>
    </w:p>
    <w:tbl>
      <w:tblPr>
        <w:tblStyle w:val="TableGrid"/>
        <w:tblW w:w="0" w:type="auto"/>
        <w:tblLook w:val="04A0" w:firstRow="1" w:lastRow="0" w:firstColumn="1" w:lastColumn="0" w:noHBand="0" w:noVBand="1"/>
      </w:tblPr>
      <w:tblGrid>
        <w:gridCol w:w="3394"/>
        <w:gridCol w:w="3394"/>
        <w:gridCol w:w="3395"/>
      </w:tblGrid>
      <w:tr w:rsidR="00470D68" w14:paraId="1EDB512D" w14:textId="77777777" w:rsidTr="00470D68">
        <w:tc>
          <w:tcPr>
            <w:tcW w:w="3394" w:type="dxa"/>
          </w:tcPr>
          <w:p w14:paraId="28BE7321" w14:textId="77777777" w:rsidR="00470D68" w:rsidRPr="007A155B" w:rsidRDefault="00470D68" w:rsidP="00470D68">
            <w:pPr>
              <w:spacing w:before="220" w:after="220"/>
              <w:jc w:val="center"/>
              <w:rPr>
                <w:rFonts w:ascii="Century Gothic" w:eastAsia="Arial" w:hAnsi="Century Gothic" w:cs="Arial"/>
                <w:b/>
                <w:color w:val="C00000"/>
                <w:sz w:val="20"/>
                <w:szCs w:val="20"/>
                <w:u w:val="single"/>
              </w:rPr>
            </w:pPr>
            <w:r w:rsidRPr="007A155B">
              <w:rPr>
                <w:rFonts w:ascii="Century Gothic" w:eastAsia="Arial" w:hAnsi="Century Gothic" w:cs="Arial"/>
                <w:b/>
                <w:color w:val="C00000"/>
                <w:sz w:val="20"/>
                <w:szCs w:val="20"/>
              </w:rPr>
              <w:t>Curiosity</w:t>
            </w:r>
          </w:p>
        </w:tc>
        <w:tc>
          <w:tcPr>
            <w:tcW w:w="3394" w:type="dxa"/>
          </w:tcPr>
          <w:p w14:paraId="2D538C3C" w14:textId="77777777" w:rsidR="00470D68" w:rsidRPr="007A155B" w:rsidRDefault="00470D68" w:rsidP="00470D68">
            <w:pPr>
              <w:jc w:val="center"/>
              <w:rPr>
                <w:rFonts w:ascii="Century Gothic" w:eastAsia="Arial" w:hAnsi="Century Gothic" w:cs="Arial"/>
                <w:b/>
                <w:color w:val="333399"/>
                <w:sz w:val="20"/>
                <w:szCs w:val="20"/>
              </w:rPr>
            </w:pPr>
          </w:p>
          <w:p w14:paraId="7937AC11" w14:textId="77777777" w:rsidR="00470D68" w:rsidRPr="007A155B" w:rsidRDefault="00470D68" w:rsidP="00470D68">
            <w:pPr>
              <w:jc w:val="center"/>
              <w:rPr>
                <w:rFonts w:ascii="Century Gothic" w:eastAsia="Arial" w:hAnsi="Century Gothic" w:cs="Arial"/>
                <w:color w:val="333399"/>
                <w:sz w:val="20"/>
                <w:szCs w:val="20"/>
              </w:rPr>
            </w:pPr>
            <w:r w:rsidRPr="007A155B">
              <w:rPr>
                <w:rFonts w:ascii="Century Gothic" w:eastAsia="Arial" w:hAnsi="Century Gothic" w:cs="Arial"/>
                <w:b/>
                <w:color w:val="333399"/>
                <w:sz w:val="20"/>
                <w:szCs w:val="20"/>
              </w:rPr>
              <w:t>Community</w:t>
            </w:r>
          </w:p>
          <w:p w14:paraId="67D0F2F2" w14:textId="77777777" w:rsidR="00470D68" w:rsidRPr="007A155B" w:rsidRDefault="00470D68" w:rsidP="00470D68">
            <w:pPr>
              <w:jc w:val="center"/>
              <w:rPr>
                <w:rFonts w:ascii="Century Gothic" w:eastAsia="Arial" w:hAnsi="Century Gothic" w:cs="Arial"/>
                <w:b/>
                <w:color w:val="333399"/>
                <w:sz w:val="20"/>
                <w:szCs w:val="20"/>
                <w:u w:val="single"/>
                <w14:textFill>
                  <w14:solidFill>
                    <w14:srgbClr w14:val="333399">
                      <w14:lumMod w14:val="50000"/>
                    </w14:srgbClr>
                  </w14:solidFill>
                </w14:textFill>
              </w:rPr>
            </w:pPr>
          </w:p>
        </w:tc>
        <w:tc>
          <w:tcPr>
            <w:tcW w:w="3395" w:type="dxa"/>
          </w:tcPr>
          <w:p w14:paraId="560527F9" w14:textId="77777777" w:rsidR="00470D68" w:rsidRPr="00470D68" w:rsidRDefault="00470D68" w:rsidP="00470D68">
            <w:pPr>
              <w:spacing w:before="220" w:after="220"/>
              <w:jc w:val="center"/>
              <w:rPr>
                <w:rFonts w:ascii="Century Gothic" w:eastAsia="Arial" w:hAnsi="Century Gothic" w:cs="Arial"/>
                <w:b/>
                <w:color w:val="002060"/>
                <w:sz w:val="20"/>
                <w:szCs w:val="20"/>
              </w:rPr>
            </w:pPr>
            <w:r w:rsidRPr="00470D68">
              <w:rPr>
                <w:rFonts w:ascii="Century Gothic" w:eastAsia="Arial" w:hAnsi="Century Gothic" w:cs="Arial"/>
                <w:b/>
                <w:color w:val="002060"/>
                <w:sz w:val="20"/>
                <w:szCs w:val="20"/>
              </w:rPr>
              <w:t>Cult</w:t>
            </w:r>
            <w:r>
              <w:rPr>
                <w:rFonts w:ascii="Century Gothic" w:eastAsia="Arial" w:hAnsi="Century Gothic" w:cs="Arial"/>
                <w:b/>
                <w:color w:val="002060"/>
                <w:sz w:val="20"/>
                <w:szCs w:val="20"/>
              </w:rPr>
              <w:t>u</w:t>
            </w:r>
            <w:r w:rsidRPr="00470D68">
              <w:rPr>
                <w:rFonts w:ascii="Century Gothic" w:eastAsia="Arial" w:hAnsi="Century Gothic" w:cs="Arial"/>
                <w:b/>
                <w:color w:val="002060"/>
                <w:sz w:val="20"/>
                <w:szCs w:val="20"/>
              </w:rPr>
              <w:t>ral Diversit</w:t>
            </w:r>
            <w:r>
              <w:rPr>
                <w:rFonts w:ascii="Century Gothic" w:eastAsia="Arial" w:hAnsi="Century Gothic" w:cs="Arial"/>
                <w:b/>
                <w:color w:val="002060"/>
                <w:sz w:val="20"/>
                <w:szCs w:val="20"/>
              </w:rPr>
              <w:t>y</w:t>
            </w:r>
          </w:p>
        </w:tc>
      </w:tr>
      <w:tr w:rsidR="00470D68" w14:paraId="38C03C75" w14:textId="77777777" w:rsidTr="00470D68">
        <w:tc>
          <w:tcPr>
            <w:tcW w:w="3394" w:type="dxa"/>
          </w:tcPr>
          <w:p w14:paraId="3D59AC30" w14:textId="11E0EB89" w:rsidR="0066225E" w:rsidRDefault="0066225E" w:rsidP="0066225E">
            <w:pPr>
              <w:ind w:left="360"/>
              <w:jc w:val="center"/>
              <w:rPr>
                <w:rFonts w:ascii="Century Gothic" w:hAnsi="Century Gothic"/>
                <w:color w:val="FF0000"/>
                <w:sz w:val="20"/>
                <w:szCs w:val="20"/>
              </w:rPr>
            </w:pPr>
          </w:p>
          <w:p w14:paraId="7CB88F87" w14:textId="77777777" w:rsidR="0066225E" w:rsidRDefault="0066225E" w:rsidP="0066225E">
            <w:pPr>
              <w:ind w:left="360"/>
              <w:jc w:val="center"/>
              <w:rPr>
                <w:rFonts w:ascii="Century Gothic" w:hAnsi="Century Gothic"/>
                <w:color w:val="FF0000"/>
                <w:sz w:val="20"/>
                <w:szCs w:val="20"/>
              </w:rPr>
            </w:pPr>
          </w:p>
          <w:p w14:paraId="6CED184F" w14:textId="2C15047B" w:rsidR="0066225E" w:rsidRPr="0066225E" w:rsidRDefault="0066225E" w:rsidP="0066225E">
            <w:pPr>
              <w:jc w:val="center"/>
              <w:rPr>
                <w:rFonts w:ascii="Century Gothic" w:hAnsi="Century Gothic"/>
                <w:color w:val="FF0000"/>
                <w:sz w:val="20"/>
                <w:szCs w:val="20"/>
              </w:rPr>
            </w:pPr>
            <w:r w:rsidRPr="0066225E">
              <w:rPr>
                <w:rFonts w:ascii="Century Gothic" w:hAnsi="Century Gothic"/>
                <w:color w:val="FF0000"/>
                <w:sz w:val="20"/>
                <w:szCs w:val="20"/>
              </w:rPr>
              <w:t>To use language creatively and spontaneously.</w:t>
            </w:r>
          </w:p>
          <w:p w14:paraId="5ECA908C" w14:textId="77777777" w:rsidR="0066225E" w:rsidRPr="0066225E" w:rsidRDefault="0066225E" w:rsidP="0066225E">
            <w:pPr>
              <w:jc w:val="center"/>
              <w:rPr>
                <w:rFonts w:ascii="Century Gothic" w:hAnsi="Century Gothic"/>
                <w:color w:val="FF0000"/>
                <w:sz w:val="20"/>
                <w:szCs w:val="20"/>
              </w:rPr>
            </w:pPr>
            <w:r w:rsidRPr="0066225E">
              <w:rPr>
                <w:rFonts w:ascii="Century Gothic" w:hAnsi="Century Gothic"/>
                <w:color w:val="FF0000"/>
                <w:sz w:val="20"/>
                <w:szCs w:val="20"/>
                <w:highlight w:val="white"/>
              </w:rPr>
              <w:t>A passion for languages and a commitment to the subject.</w:t>
            </w:r>
          </w:p>
          <w:p w14:paraId="5EC5FD65" w14:textId="702F9828" w:rsidR="00470D68" w:rsidRPr="0066225E" w:rsidRDefault="00470D68" w:rsidP="0066225E">
            <w:pPr>
              <w:spacing w:before="220" w:after="220"/>
              <w:jc w:val="center"/>
              <w:rPr>
                <w:rFonts w:ascii="Century Gothic" w:eastAsia="Arial" w:hAnsi="Century Gothic" w:cs="Arial"/>
                <w:color w:val="C00000"/>
                <w:sz w:val="20"/>
                <w:szCs w:val="20"/>
                <w:u w:val="single"/>
              </w:rPr>
            </w:pPr>
          </w:p>
        </w:tc>
        <w:tc>
          <w:tcPr>
            <w:tcW w:w="3394" w:type="dxa"/>
          </w:tcPr>
          <w:p w14:paraId="1F7C53EC" w14:textId="4F67270D" w:rsidR="0066225E" w:rsidRDefault="0066225E" w:rsidP="0066225E">
            <w:pPr>
              <w:pBdr>
                <w:top w:val="nil"/>
                <w:left w:val="nil"/>
                <w:bottom w:val="nil"/>
                <w:right w:val="nil"/>
                <w:between w:val="nil"/>
              </w:pBdr>
              <w:ind w:left="360"/>
              <w:jc w:val="center"/>
              <w:rPr>
                <w:rFonts w:ascii="Century Gothic" w:hAnsi="Century Gothic"/>
                <w:color w:val="7030A0"/>
                <w:sz w:val="20"/>
                <w:szCs w:val="20"/>
              </w:rPr>
            </w:pPr>
          </w:p>
          <w:p w14:paraId="4352050D" w14:textId="77777777" w:rsidR="0066225E" w:rsidRDefault="0066225E" w:rsidP="0066225E">
            <w:pPr>
              <w:pBdr>
                <w:top w:val="nil"/>
                <w:left w:val="nil"/>
                <w:bottom w:val="nil"/>
                <w:right w:val="nil"/>
                <w:between w:val="nil"/>
              </w:pBdr>
              <w:ind w:left="360"/>
              <w:jc w:val="center"/>
              <w:rPr>
                <w:rFonts w:ascii="Century Gothic" w:hAnsi="Century Gothic"/>
                <w:color w:val="7030A0"/>
                <w:sz w:val="20"/>
                <w:szCs w:val="20"/>
              </w:rPr>
            </w:pPr>
          </w:p>
          <w:p w14:paraId="4300CC77" w14:textId="342F8E8C" w:rsidR="0066225E" w:rsidRPr="0066225E" w:rsidRDefault="0066225E" w:rsidP="0066225E">
            <w:pPr>
              <w:pBdr>
                <w:top w:val="nil"/>
                <w:left w:val="nil"/>
                <w:bottom w:val="nil"/>
                <w:right w:val="nil"/>
                <w:between w:val="nil"/>
              </w:pBdr>
              <w:jc w:val="center"/>
              <w:rPr>
                <w:rFonts w:ascii="Century Gothic" w:eastAsia="Arial" w:hAnsi="Century Gothic" w:cs="Arial"/>
                <w:color w:val="7030A0"/>
                <w:sz w:val="20"/>
                <w:szCs w:val="20"/>
              </w:rPr>
            </w:pPr>
            <w:r w:rsidRPr="0066225E">
              <w:rPr>
                <w:rFonts w:ascii="Century Gothic" w:hAnsi="Century Gothic"/>
                <w:color w:val="7030A0"/>
                <w:sz w:val="20"/>
                <w:szCs w:val="20"/>
              </w:rPr>
              <w:t>Opening the channels of communication between different communities.</w:t>
            </w:r>
          </w:p>
          <w:p w14:paraId="6C96E18F" w14:textId="69C844B5" w:rsidR="00470D68" w:rsidRPr="0066225E" w:rsidRDefault="00470D68" w:rsidP="0066225E">
            <w:pPr>
              <w:spacing w:before="220" w:after="220"/>
              <w:jc w:val="center"/>
              <w:rPr>
                <w:rFonts w:ascii="Century Gothic" w:eastAsia="Arial" w:hAnsi="Century Gothic" w:cs="Arial"/>
                <w:color w:val="333399"/>
                <w:sz w:val="20"/>
                <w:szCs w:val="20"/>
                <w14:textFill>
                  <w14:solidFill>
                    <w14:srgbClr w14:val="333399">
                      <w14:lumMod w14:val="50000"/>
                    </w14:srgbClr>
                  </w14:solidFill>
                </w14:textFill>
              </w:rPr>
            </w:pPr>
          </w:p>
        </w:tc>
        <w:tc>
          <w:tcPr>
            <w:tcW w:w="3395" w:type="dxa"/>
          </w:tcPr>
          <w:p w14:paraId="1039BBA9" w14:textId="3C9889B5" w:rsidR="0066225E" w:rsidRDefault="0066225E" w:rsidP="0066225E">
            <w:pPr>
              <w:ind w:left="360"/>
              <w:jc w:val="center"/>
              <w:rPr>
                <w:rFonts w:ascii="Century Gothic" w:hAnsi="Century Gothic"/>
                <w:color w:val="002060"/>
                <w:sz w:val="20"/>
                <w:szCs w:val="20"/>
                <w:highlight w:val="white"/>
              </w:rPr>
            </w:pPr>
          </w:p>
          <w:p w14:paraId="42E7B141" w14:textId="77777777" w:rsidR="0066225E" w:rsidRDefault="0066225E" w:rsidP="0066225E">
            <w:pPr>
              <w:ind w:left="360"/>
              <w:jc w:val="center"/>
              <w:rPr>
                <w:rFonts w:ascii="Century Gothic" w:hAnsi="Century Gothic"/>
                <w:color w:val="002060"/>
                <w:sz w:val="20"/>
                <w:szCs w:val="20"/>
                <w:highlight w:val="white"/>
              </w:rPr>
            </w:pPr>
          </w:p>
          <w:p w14:paraId="13A84087" w14:textId="7FAC4E03" w:rsidR="00470D68" w:rsidRPr="0066225E" w:rsidRDefault="0066225E" w:rsidP="0066225E">
            <w:pPr>
              <w:jc w:val="center"/>
              <w:rPr>
                <w:rFonts w:ascii="Century Gothic" w:eastAsia="Arial" w:hAnsi="Century Gothic" w:cs="Arial"/>
                <w:color w:val="0F243E" w:themeColor="text2" w:themeShade="80"/>
                <w:sz w:val="20"/>
                <w:szCs w:val="20"/>
                <w:u w:val="single"/>
              </w:rPr>
            </w:pPr>
            <w:r w:rsidRPr="0066225E">
              <w:rPr>
                <w:rFonts w:ascii="Century Gothic" w:hAnsi="Century Gothic"/>
                <w:color w:val="002060"/>
                <w:sz w:val="20"/>
                <w:szCs w:val="20"/>
                <w:highlight w:val="white"/>
              </w:rPr>
              <w:t>A strong awareness of the culture of the countries where the language is spoken.</w:t>
            </w:r>
          </w:p>
        </w:tc>
      </w:tr>
    </w:tbl>
    <w:p w14:paraId="0F5751EA" w14:textId="77777777" w:rsidR="00572E23" w:rsidRPr="005C6795" w:rsidRDefault="00572E23" w:rsidP="00470D68">
      <w:pPr>
        <w:pBdr>
          <w:top w:val="nil"/>
          <w:left w:val="nil"/>
          <w:bottom w:val="nil"/>
          <w:right w:val="nil"/>
          <w:between w:val="nil"/>
        </w:pBdr>
        <w:spacing w:line="240" w:lineRule="auto"/>
        <w:ind w:left="720" w:hanging="720"/>
        <w:jc w:val="center"/>
        <w:rPr>
          <w:rFonts w:ascii="Century Gothic" w:eastAsia="Arial" w:hAnsi="Century Gothic" w:cs="Arial"/>
          <w:b/>
          <w:color w:val="000000"/>
          <w:sz w:val="2"/>
          <w:szCs w:val="2"/>
          <w:u w:val="single"/>
        </w:rPr>
      </w:pPr>
    </w:p>
    <w:p w14:paraId="23EE46EA" w14:textId="77777777" w:rsidR="00470D68" w:rsidRPr="005C6795" w:rsidRDefault="00470D68" w:rsidP="00470D68">
      <w:pPr>
        <w:pBdr>
          <w:top w:val="nil"/>
          <w:left w:val="nil"/>
          <w:bottom w:val="nil"/>
          <w:right w:val="nil"/>
          <w:between w:val="nil"/>
        </w:pBdr>
        <w:spacing w:line="240" w:lineRule="auto"/>
        <w:ind w:left="720" w:hanging="720"/>
        <w:jc w:val="center"/>
        <w:rPr>
          <w:rFonts w:ascii="Century Gothic" w:eastAsia="Arial" w:hAnsi="Century Gothic" w:cs="Arial"/>
          <w:b/>
          <w:color w:val="244061" w:themeColor="accent1" w:themeShade="80"/>
          <w:sz w:val="20"/>
          <w:szCs w:val="20"/>
          <w:u w:val="single"/>
        </w:rPr>
      </w:pPr>
      <w:r w:rsidRPr="005C6795">
        <w:rPr>
          <w:rFonts w:ascii="Century Gothic" w:eastAsia="Arial" w:hAnsi="Century Gothic" w:cs="Arial"/>
          <w:b/>
          <w:color w:val="244061" w:themeColor="accent1" w:themeShade="80"/>
          <w:sz w:val="20"/>
          <w:szCs w:val="20"/>
          <w:u w:val="single"/>
        </w:rPr>
        <w:t>Teaching and Learning Strands</w:t>
      </w:r>
    </w:p>
    <w:tbl>
      <w:tblPr>
        <w:tblStyle w:val="TableGrid"/>
        <w:tblW w:w="10206" w:type="dxa"/>
        <w:tblInd w:w="-5" w:type="dxa"/>
        <w:tblLook w:val="04A0" w:firstRow="1" w:lastRow="0" w:firstColumn="1" w:lastColumn="0" w:noHBand="0" w:noVBand="1"/>
      </w:tblPr>
      <w:tblGrid>
        <w:gridCol w:w="2365"/>
        <w:gridCol w:w="2366"/>
        <w:gridCol w:w="2366"/>
        <w:gridCol w:w="3109"/>
      </w:tblGrid>
      <w:tr w:rsidR="00470D68" w14:paraId="49DB50FE" w14:textId="77777777" w:rsidTr="005C6795">
        <w:tc>
          <w:tcPr>
            <w:tcW w:w="2365" w:type="dxa"/>
            <w:vAlign w:val="center"/>
          </w:tcPr>
          <w:p w14:paraId="07234EBC" w14:textId="77777777" w:rsidR="00470D68" w:rsidRPr="00572E23" w:rsidRDefault="00470D68" w:rsidP="005C6795">
            <w:pPr>
              <w:jc w:val="center"/>
              <w:rPr>
                <w:rFonts w:ascii="Century Gothic" w:eastAsia="Arial Narrow" w:hAnsi="Century Gothic" w:cs="Arial Narrow"/>
                <w:b/>
                <w:color w:val="244061" w:themeColor="accent1" w:themeShade="80"/>
                <w:sz w:val="20"/>
                <w:szCs w:val="20"/>
              </w:rPr>
            </w:pPr>
          </w:p>
          <w:p w14:paraId="70903FF6" w14:textId="51103097" w:rsidR="00470D68" w:rsidRPr="00572E23" w:rsidRDefault="0066225E" w:rsidP="005C6795">
            <w:pPr>
              <w:jc w:val="center"/>
              <w:rPr>
                <w:rFonts w:ascii="Century Gothic" w:eastAsia="Arial Narrow" w:hAnsi="Century Gothic" w:cs="Arial Narrow"/>
                <w:b/>
                <w:color w:val="244061" w:themeColor="accent1" w:themeShade="80"/>
                <w:sz w:val="20"/>
                <w:szCs w:val="20"/>
              </w:rPr>
            </w:pPr>
            <w:r>
              <w:rPr>
                <w:rFonts w:ascii="Century Gothic" w:eastAsia="Arial Narrow" w:hAnsi="Century Gothic" w:cs="Arial Narrow"/>
                <w:b/>
                <w:color w:val="244061" w:themeColor="accent1" w:themeShade="80"/>
                <w:sz w:val="20"/>
                <w:szCs w:val="20"/>
              </w:rPr>
              <w:t>Speaking and Listening</w:t>
            </w:r>
          </w:p>
          <w:p w14:paraId="68F2AD03" w14:textId="77777777" w:rsidR="00470D68" w:rsidRPr="00572E23" w:rsidRDefault="00470D68" w:rsidP="005C6795">
            <w:pPr>
              <w:jc w:val="center"/>
              <w:rPr>
                <w:rFonts w:ascii="Century Gothic" w:eastAsia="Arial" w:hAnsi="Century Gothic" w:cs="Arial"/>
                <w:color w:val="244061" w:themeColor="accent1" w:themeShade="80"/>
                <w:sz w:val="20"/>
                <w:szCs w:val="20"/>
              </w:rPr>
            </w:pPr>
          </w:p>
        </w:tc>
        <w:tc>
          <w:tcPr>
            <w:tcW w:w="2366" w:type="dxa"/>
            <w:vAlign w:val="center"/>
          </w:tcPr>
          <w:p w14:paraId="40E4349D" w14:textId="551685BB" w:rsidR="00470D68" w:rsidRPr="00572E23" w:rsidRDefault="0066225E" w:rsidP="005C6795">
            <w:pPr>
              <w:jc w:val="center"/>
              <w:rPr>
                <w:rFonts w:ascii="Century Gothic" w:eastAsia="Arial" w:hAnsi="Century Gothic" w:cs="Arial"/>
                <w:color w:val="244061" w:themeColor="accent1" w:themeShade="80"/>
                <w:sz w:val="20"/>
                <w:szCs w:val="20"/>
              </w:rPr>
            </w:pPr>
            <w:r>
              <w:rPr>
                <w:rFonts w:ascii="Century Gothic" w:eastAsia="Arial Narrow" w:hAnsi="Century Gothic" w:cs="Arial Narrow"/>
                <w:b/>
                <w:color w:val="244061" w:themeColor="accent1" w:themeShade="80"/>
                <w:sz w:val="20"/>
                <w:szCs w:val="20"/>
              </w:rPr>
              <w:t>Reading</w:t>
            </w:r>
          </w:p>
        </w:tc>
        <w:tc>
          <w:tcPr>
            <w:tcW w:w="2366" w:type="dxa"/>
            <w:vAlign w:val="center"/>
          </w:tcPr>
          <w:p w14:paraId="0DC353CA" w14:textId="7E82470A" w:rsidR="00470D68" w:rsidRPr="0066225E" w:rsidRDefault="0066225E" w:rsidP="005C6795">
            <w:pPr>
              <w:jc w:val="center"/>
              <w:rPr>
                <w:rFonts w:ascii="Century Gothic" w:eastAsia="Arial" w:hAnsi="Century Gothic" w:cs="Arial"/>
                <w:b/>
                <w:color w:val="244061" w:themeColor="accent1" w:themeShade="80"/>
                <w:sz w:val="20"/>
                <w:szCs w:val="20"/>
              </w:rPr>
            </w:pPr>
            <w:r w:rsidRPr="0066225E">
              <w:rPr>
                <w:rFonts w:ascii="Century Gothic" w:eastAsia="Arial" w:hAnsi="Century Gothic" w:cs="Arial"/>
                <w:b/>
                <w:color w:val="244061" w:themeColor="accent1" w:themeShade="80"/>
                <w:sz w:val="20"/>
                <w:szCs w:val="20"/>
              </w:rPr>
              <w:t>Writing</w:t>
            </w:r>
          </w:p>
        </w:tc>
        <w:tc>
          <w:tcPr>
            <w:tcW w:w="3109" w:type="dxa"/>
            <w:vAlign w:val="center"/>
          </w:tcPr>
          <w:p w14:paraId="19721D50" w14:textId="3ADED0F3" w:rsidR="00470D68" w:rsidRPr="0066225E" w:rsidRDefault="0066225E" w:rsidP="005C6795">
            <w:pPr>
              <w:jc w:val="center"/>
              <w:rPr>
                <w:rFonts w:ascii="Century Gothic" w:eastAsia="Arial" w:hAnsi="Century Gothic" w:cs="Arial"/>
                <w:b/>
                <w:color w:val="244061" w:themeColor="accent1" w:themeShade="80"/>
                <w:sz w:val="20"/>
                <w:szCs w:val="20"/>
              </w:rPr>
            </w:pPr>
            <w:r w:rsidRPr="0066225E">
              <w:rPr>
                <w:rFonts w:ascii="Century Gothic" w:eastAsia="Arial Narrow" w:hAnsi="Century Gothic" w:cs="Arial Narrow"/>
                <w:b/>
                <w:color w:val="244061" w:themeColor="accent1" w:themeShade="80"/>
                <w:sz w:val="20"/>
                <w:szCs w:val="20"/>
              </w:rPr>
              <w:t>Developing Vocabulary</w:t>
            </w:r>
          </w:p>
        </w:tc>
      </w:tr>
      <w:tr w:rsidR="00470D68" w14:paraId="60AB1736" w14:textId="77777777" w:rsidTr="005C6795">
        <w:tc>
          <w:tcPr>
            <w:tcW w:w="2365" w:type="dxa"/>
            <w:vAlign w:val="center"/>
          </w:tcPr>
          <w:p w14:paraId="7DBEEC52" w14:textId="16DB993C" w:rsidR="00470D68" w:rsidRPr="0066225E" w:rsidRDefault="0066225E" w:rsidP="0066225E">
            <w:pPr>
              <w:jc w:val="center"/>
              <w:rPr>
                <w:rFonts w:ascii="Century Gothic" w:eastAsia="Arial Narrow" w:hAnsi="Century Gothic" w:cs="Arial Narrow"/>
                <w:b/>
                <w:color w:val="0F243E" w:themeColor="text2" w:themeShade="80"/>
                <w:sz w:val="20"/>
                <w:szCs w:val="20"/>
              </w:rPr>
            </w:pPr>
            <w:r w:rsidRPr="0066225E">
              <w:rPr>
                <w:rFonts w:ascii="Century Gothic" w:hAnsi="Century Gothic"/>
                <w:color w:val="0F243E" w:themeColor="text2" w:themeShade="80"/>
                <w:sz w:val="20"/>
                <w:szCs w:val="20"/>
              </w:rPr>
              <w:t>J</w:t>
            </w:r>
            <w:r w:rsidRPr="0066225E">
              <w:rPr>
                <w:rFonts w:ascii="Century Gothic" w:hAnsi="Century Gothic"/>
                <w:color w:val="0F243E" w:themeColor="text2" w:themeShade="80"/>
                <w:sz w:val="20"/>
                <w:szCs w:val="20"/>
              </w:rPr>
              <w:t>oining in and responding appropriately and with confidence. Exploring the patterns and sounds of language through songs and rhymes - making associations with spelling, sound and meaning of words. Engage in conversations by asking and answering questions and expressing opinions. Development of pronunciation and intonation of full sentences. Orally able to describe people, places, things and actions.</w:t>
            </w:r>
          </w:p>
        </w:tc>
        <w:tc>
          <w:tcPr>
            <w:tcW w:w="2366" w:type="dxa"/>
            <w:vAlign w:val="center"/>
          </w:tcPr>
          <w:p w14:paraId="62DF65FD" w14:textId="77777777" w:rsidR="0066225E" w:rsidRPr="0066225E" w:rsidRDefault="0066225E" w:rsidP="0066225E">
            <w:pPr>
              <w:jc w:val="center"/>
              <w:rPr>
                <w:rFonts w:ascii="Century Gothic" w:eastAsia="Arial" w:hAnsi="Century Gothic" w:cs="Arial"/>
                <w:b/>
                <w:color w:val="0F243E" w:themeColor="text2" w:themeShade="80"/>
                <w:sz w:val="20"/>
                <w:szCs w:val="20"/>
              </w:rPr>
            </w:pPr>
            <w:r w:rsidRPr="0066225E">
              <w:rPr>
                <w:rFonts w:ascii="Century Gothic" w:hAnsi="Century Gothic"/>
                <w:color w:val="0F243E" w:themeColor="text2" w:themeShade="80"/>
                <w:sz w:val="20"/>
                <w:szCs w:val="20"/>
              </w:rPr>
              <w:t>This strand involves reading fluently and showing understanding of words, phrases and simple writing. Appreciate stories, songs, poems and rhymes in the language. Recognise basic grammar and difference in masculine, feminine and neuter forms. Identify patterns in high-frequency verb conjugation.</w:t>
            </w:r>
          </w:p>
          <w:p w14:paraId="207D1401" w14:textId="1DB5CF53" w:rsidR="00470D68" w:rsidRPr="0066225E" w:rsidRDefault="00470D68" w:rsidP="0066225E">
            <w:pPr>
              <w:jc w:val="center"/>
              <w:rPr>
                <w:rFonts w:ascii="Century Gothic" w:eastAsia="Arial" w:hAnsi="Century Gothic" w:cs="Arial"/>
                <w:color w:val="0F243E" w:themeColor="text2" w:themeShade="80"/>
                <w:sz w:val="20"/>
                <w:szCs w:val="20"/>
              </w:rPr>
            </w:pPr>
            <w:r w:rsidRPr="0066225E">
              <w:rPr>
                <w:rFonts w:ascii="Century Gothic" w:eastAsia="Arial Narrow" w:hAnsi="Century Gothic" w:cs="Arial Narrow"/>
                <w:color w:val="0F243E" w:themeColor="text2" w:themeShade="80"/>
                <w:sz w:val="20"/>
                <w:szCs w:val="20"/>
              </w:rPr>
              <w:t>.</w:t>
            </w:r>
          </w:p>
        </w:tc>
        <w:tc>
          <w:tcPr>
            <w:tcW w:w="2366" w:type="dxa"/>
            <w:vAlign w:val="center"/>
          </w:tcPr>
          <w:p w14:paraId="79753AE8" w14:textId="5706EE50" w:rsidR="00470D68" w:rsidRPr="0066225E" w:rsidRDefault="0066225E" w:rsidP="0066225E">
            <w:pPr>
              <w:jc w:val="center"/>
              <w:rPr>
                <w:rFonts w:ascii="Century Gothic" w:eastAsia="Arial" w:hAnsi="Century Gothic" w:cs="Arial"/>
                <w:color w:val="0F243E" w:themeColor="text2" w:themeShade="80"/>
                <w:sz w:val="20"/>
                <w:szCs w:val="20"/>
              </w:rPr>
            </w:pPr>
            <w:r w:rsidRPr="0066225E">
              <w:rPr>
                <w:rFonts w:ascii="Century Gothic" w:hAnsi="Century Gothic"/>
                <w:color w:val="0F243E" w:themeColor="text2" w:themeShade="80"/>
                <w:sz w:val="20"/>
                <w:szCs w:val="20"/>
              </w:rPr>
              <w:t>This strand involves fluency and imagination in writing by developing confidence in describing people, places, things, and actions, as well as implementing the correct feminine, masculine and neuter forms and the conjugation of high-frequency verbs</w:t>
            </w:r>
          </w:p>
        </w:tc>
        <w:tc>
          <w:tcPr>
            <w:tcW w:w="3109" w:type="dxa"/>
            <w:vAlign w:val="center"/>
          </w:tcPr>
          <w:p w14:paraId="42F23369" w14:textId="01925C02" w:rsidR="00470D68" w:rsidRPr="0066225E" w:rsidRDefault="0066225E" w:rsidP="0066225E">
            <w:pPr>
              <w:jc w:val="center"/>
              <w:rPr>
                <w:rFonts w:ascii="Century Gothic" w:eastAsia="Arial" w:hAnsi="Century Gothic" w:cs="Arial"/>
                <w:color w:val="0F243E" w:themeColor="text2" w:themeShade="80"/>
                <w:sz w:val="20"/>
                <w:szCs w:val="20"/>
              </w:rPr>
            </w:pPr>
            <w:r w:rsidRPr="0066225E">
              <w:rPr>
                <w:rFonts w:ascii="Century Gothic" w:hAnsi="Century Gothic"/>
                <w:color w:val="0F243E" w:themeColor="text2" w:themeShade="80"/>
                <w:sz w:val="20"/>
                <w:szCs w:val="20"/>
              </w:rPr>
              <w:t>Broaden vocabulary through exposure and dictionary use. Develop the ability to understand new words that are introduced in familiar written material.</w:t>
            </w:r>
          </w:p>
        </w:tc>
      </w:tr>
    </w:tbl>
    <w:p w14:paraId="1EA66B2E" w14:textId="77777777" w:rsidR="00446F34" w:rsidRPr="00470D68" w:rsidRDefault="00446F34" w:rsidP="00470D68">
      <w:pPr>
        <w:spacing w:after="0" w:line="240" w:lineRule="auto"/>
        <w:rPr>
          <w:rFonts w:ascii="Century Gothic" w:eastAsia="Arial Narrow" w:hAnsi="Century Gothic" w:cs="Arial Narrow"/>
          <w:sz w:val="20"/>
          <w:szCs w:val="20"/>
        </w:rPr>
      </w:pPr>
    </w:p>
    <w:sectPr w:rsidR="00446F34" w:rsidRPr="00470D68" w:rsidSect="00572E23">
      <w:headerReference w:type="default" r:id="rId11"/>
      <w:pgSz w:w="11906" w:h="16838"/>
      <w:pgMar w:top="720" w:right="720" w:bottom="720" w:left="993" w:header="708" w:footer="708" w:gutter="0"/>
      <w:pgBorders w:offsetFrom="page">
        <w:top w:val="single" w:sz="8" w:space="24" w:color="1F497D" w:themeColor="text2"/>
        <w:left w:val="single" w:sz="8" w:space="24" w:color="1F497D" w:themeColor="text2"/>
        <w:bottom w:val="single" w:sz="8" w:space="24" w:color="1F497D" w:themeColor="text2"/>
        <w:right w:val="single" w:sz="8" w:space="24" w:color="1F497D" w:themeColor="text2"/>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D41A4" w14:textId="77777777" w:rsidR="001902A3" w:rsidRDefault="001902A3" w:rsidP="00470D68">
      <w:pPr>
        <w:spacing w:after="0" w:line="240" w:lineRule="auto"/>
      </w:pPr>
      <w:r>
        <w:separator/>
      </w:r>
    </w:p>
  </w:endnote>
  <w:endnote w:type="continuationSeparator" w:id="0">
    <w:p w14:paraId="41ED9A8C" w14:textId="77777777" w:rsidR="001902A3" w:rsidRDefault="001902A3" w:rsidP="00470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40496" w14:textId="77777777" w:rsidR="001902A3" w:rsidRDefault="001902A3" w:rsidP="00470D68">
      <w:pPr>
        <w:spacing w:after="0" w:line="240" w:lineRule="auto"/>
      </w:pPr>
      <w:r>
        <w:separator/>
      </w:r>
    </w:p>
  </w:footnote>
  <w:footnote w:type="continuationSeparator" w:id="0">
    <w:p w14:paraId="15A89414" w14:textId="77777777" w:rsidR="001902A3" w:rsidRDefault="001902A3" w:rsidP="00470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74917" w14:textId="77777777" w:rsidR="00470D68" w:rsidRDefault="00470D68">
    <w:pPr>
      <w:pStyle w:val="Header"/>
    </w:pPr>
    <w:r w:rsidRPr="00470D68">
      <w:rPr>
        <w:noProof/>
        <w:sz w:val="24"/>
        <w:szCs w:val="24"/>
      </w:rPr>
      <w:drawing>
        <wp:anchor distT="0" distB="0" distL="114300" distR="114300" simplePos="0" relativeHeight="251659264" behindDoc="0" locked="0" layoutInCell="1" hidden="0" allowOverlap="1" wp14:anchorId="3AAE11DD" wp14:editId="5C9A12F6">
          <wp:simplePos x="0" y="0"/>
          <wp:positionH relativeFrom="margin">
            <wp:align>center</wp:align>
          </wp:positionH>
          <wp:positionV relativeFrom="paragraph">
            <wp:posOffset>361</wp:posOffset>
          </wp:positionV>
          <wp:extent cx="755650" cy="544830"/>
          <wp:effectExtent l="0" t="0" r="6350" b="762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5650" cy="544830"/>
                  </a:xfrm>
                  <a:prstGeom prst="rect">
                    <a:avLst/>
                  </a:prstGeom>
                  <a:ln/>
                </pic:spPr>
              </pic:pic>
            </a:graphicData>
          </a:graphic>
          <wp14:sizeRelH relativeFrom="margin">
            <wp14:pctWidth>0</wp14:pctWidth>
          </wp14:sizeRelH>
          <wp14:sizeRelV relativeFrom="margin">
            <wp14:pctHeight>0</wp14:pctHeight>
          </wp14:sizeRelV>
        </wp:anchor>
      </w:drawing>
    </w:r>
  </w:p>
  <w:p w14:paraId="3AEBE4FA" w14:textId="77777777" w:rsidR="00470D68" w:rsidRDefault="0047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7E5A"/>
    <w:multiLevelType w:val="hybridMultilevel"/>
    <w:tmpl w:val="5298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E2F26"/>
    <w:multiLevelType w:val="multilevel"/>
    <w:tmpl w:val="FB08F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4F0FBB"/>
    <w:multiLevelType w:val="multilevel"/>
    <w:tmpl w:val="6F847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ED3CE2"/>
    <w:multiLevelType w:val="multilevel"/>
    <w:tmpl w:val="B2227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BE17DC"/>
    <w:multiLevelType w:val="multilevel"/>
    <w:tmpl w:val="17B00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F34"/>
    <w:rsid w:val="001902A3"/>
    <w:rsid w:val="0044473A"/>
    <w:rsid w:val="00446F34"/>
    <w:rsid w:val="00470D68"/>
    <w:rsid w:val="00572E23"/>
    <w:rsid w:val="005C6795"/>
    <w:rsid w:val="0066225E"/>
    <w:rsid w:val="007A1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f9faec"/>
    </o:shapedefaults>
    <o:shapelayout v:ext="edit">
      <o:idmap v:ext="edit" data="1"/>
    </o:shapelayout>
  </w:shapeDefaults>
  <w:decimalSymbol w:val="."/>
  <w:listSeparator w:val=","/>
  <w14:docId w14:val="766291AA"/>
  <w15:docId w15:val="{BF030E41-3C75-44A3-A77D-489C3981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70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D68"/>
  </w:style>
  <w:style w:type="paragraph" w:styleId="Footer">
    <w:name w:val="footer"/>
    <w:basedOn w:val="Normal"/>
    <w:link w:val="FooterChar"/>
    <w:uiPriority w:val="99"/>
    <w:unhideWhenUsed/>
    <w:rsid w:val="00470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D68"/>
  </w:style>
  <w:style w:type="table" w:styleId="TableGrid">
    <w:name w:val="Table Grid"/>
    <w:basedOn w:val="TableNormal"/>
    <w:uiPriority w:val="39"/>
    <w:rsid w:val="00470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C22B339C50524C933FC1D3B718B4A6" ma:contentTypeVersion="13" ma:contentTypeDescription="Create a new document." ma:contentTypeScope="" ma:versionID="4ba2ebb56136baa7274d2b3f24f36d53">
  <xsd:schema xmlns:xsd="http://www.w3.org/2001/XMLSchema" xmlns:xs="http://www.w3.org/2001/XMLSchema" xmlns:p="http://schemas.microsoft.com/office/2006/metadata/properties" xmlns:ns2="c343c140-486f-48b5-a83a-5e95749c8c03" xmlns:ns3="25d6a32e-3f83-403b-9069-7d229148a98a" targetNamespace="http://schemas.microsoft.com/office/2006/metadata/properties" ma:root="true" ma:fieldsID="45721794fcdb035a50e12f041e1d589e" ns2:_="" ns3:_="">
    <xsd:import namespace="c343c140-486f-48b5-a83a-5e95749c8c03"/>
    <xsd:import namespace="25d6a32e-3f83-403b-9069-7d229148a9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3c140-486f-48b5-a83a-5e95749c8c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6a32e-3f83-403b-9069-7d229148a9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29726-DF0E-4007-AA0E-14159CF71B23}">
  <ds:schemaRefs>
    <ds:schemaRef ds:uri="http://schemas.microsoft.com/sharepoint/v3/contenttype/forms"/>
  </ds:schemaRefs>
</ds:datastoreItem>
</file>

<file path=customXml/itemProps2.xml><?xml version="1.0" encoding="utf-8"?>
<ds:datastoreItem xmlns:ds="http://schemas.openxmlformats.org/officeDocument/2006/customXml" ds:itemID="{0C7C73F4-2318-4CFE-A3C3-CF2362736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3c140-486f-48b5-a83a-5e95749c8c03"/>
    <ds:schemaRef ds:uri="25d6a32e-3f83-403b-9069-7d229148a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11D268-2C06-4CEF-A69C-737AC78EA7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537DEB-5152-4834-A44D-B6B13EBF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Castell</dc:creator>
  <cp:lastModifiedBy>Liz Castell</cp:lastModifiedBy>
  <cp:revision>2</cp:revision>
  <cp:lastPrinted>2022-02-07T16:56:00Z</cp:lastPrinted>
  <dcterms:created xsi:type="dcterms:W3CDTF">2022-02-08T08:18:00Z</dcterms:created>
  <dcterms:modified xsi:type="dcterms:W3CDTF">2022-02-08T08:18:00Z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0x010100BCC22B339C50524C933FC1D3B718B4A6</vt:lpwstr>
  </property>
</Properties>
</file>