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9BEFED" w14:textId="77777777" w:rsidR="00446F34" w:rsidRPr="00470D68" w:rsidRDefault="0044473A" w:rsidP="00470D68">
      <w:pPr>
        <w:spacing w:after="0"/>
        <w:ind w:left="426"/>
        <w:rPr>
          <w:sz w:val="10"/>
          <w:szCs w:val="10"/>
        </w:rPr>
      </w:pPr>
      <w:r>
        <w:rPr>
          <w:sz w:val="48"/>
          <w:szCs w:val="48"/>
        </w:rPr>
        <w:t xml:space="preserve">       </w:t>
      </w:r>
    </w:p>
    <w:p w14:paraId="74502E89" w14:textId="07BA185E" w:rsidR="00446F34" w:rsidRPr="00470D68" w:rsidRDefault="00470D68" w:rsidP="00470D68">
      <w:pPr>
        <w:jc w:val="center"/>
        <w:rPr>
          <w:rFonts w:ascii="Century Gothic" w:eastAsia="Arial" w:hAnsi="Century Gothic" w:cs="Arial"/>
          <w:b/>
          <w:color w:val="0F243E" w:themeColor="text2" w:themeShade="80"/>
          <w:sz w:val="24"/>
          <w:szCs w:val="24"/>
          <w:u w:val="single"/>
        </w:rPr>
      </w:pPr>
      <w:r w:rsidRPr="00470D68">
        <w:rPr>
          <w:rFonts w:ascii="Century Gothic" w:eastAsia="Arial" w:hAnsi="Century Gothic" w:cs="Arial"/>
          <w:b/>
          <w:color w:val="0F243E" w:themeColor="text2" w:themeShade="80"/>
          <w:sz w:val="24"/>
          <w:szCs w:val="24"/>
          <w:u w:val="single"/>
        </w:rPr>
        <w:t xml:space="preserve">Polehampton CE Schools - </w:t>
      </w:r>
      <w:r w:rsidR="009536B1">
        <w:rPr>
          <w:rFonts w:ascii="Century Gothic" w:eastAsia="Arial" w:hAnsi="Century Gothic" w:cs="Arial"/>
          <w:b/>
          <w:color w:val="0F243E" w:themeColor="text2" w:themeShade="80"/>
          <w:sz w:val="24"/>
          <w:szCs w:val="24"/>
          <w:u w:val="single"/>
        </w:rPr>
        <w:t>PSHE</w:t>
      </w:r>
    </w:p>
    <w:p w14:paraId="72D9E9A6" w14:textId="346272E2" w:rsidR="009536B1" w:rsidRPr="009536B1" w:rsidRDefault="009536B1" w:rsidP="009536B1">
      <w:pPr>
        <w:shd w:val="clear" w:color="auto" w:fill="FFFFFF"/>
        <w:spacing w:after="0" w:line="240" w:lineRule="auto"/>
        <w:jc w:val="center"/>
        <w:rPr>
          <w:rFonts w:ascii="Bradley Hand ITC" w:eastAsia="Times New Roman" w:hAnsi="Bradley Hand ITC" w:cs="Times New Roman"/>
          <w:color w:val="0F243E" w:themeColor="text2" w:themeShade="80"/>
        </w:rPr>
      </w:pPr>
      <w:bookmarkStart w:id="0" w:name="_gjdgxs" w:colFirst="0" w:colLast="0"/>
      <w:bookmarkEnd w:id="0"/>
      <w:r w:rsidRPr="009536B1">
        <w:rPr>
          <w:rFonts w:ascii="Bradley Hand ITC" w:eastAsia="Times New Roman" w:hAnsi="Bradley Hand ITC"/>
          <w:iCs/>
          <w:color w:val="0F243E" w:themeColor="text2" w:themeShade="80"/>
        </w:rPr>
        <w:t xml:space="preserve">“Never underestimate the power of dreams and the influence of the human spirit. We are all the same in this notion: The potential for greatness lives within each of us.” </w:t>
      </w:r>
      <w:hyperlink r:id="rId11" w:history="1">
        <w:r w:rsidRPr="009536B1">
          <w:rPr>
            <w:rFonts w:ascii="Bradley Hand ITC" w:eastAsia="Times New Roman" w:hAnsi="Bradley Hand ITC"/>
            <w:iCs/>
            <w:color w:val="0F243E" w:themeColor="text2" w:themeShade="80"/>
          </w:rPr>
          <w:t>Wilma Rudolph</w:t>
        </w:r>
      </w:hyperlink>
    </w:p>
    <w:p w14:paraId="3C26677E" w14:textId="77777777" w:rsidR="000C680B" w:rsidRPr="000C680B" w:rsidRDefault="000C680B" w:rsidP="006B2BF1">
      <w:pPr>
        <w:pStyle w:val="NormalWeb"/>
        <w:spacing w:before="0" w:beforeAutospacing="0" w:after="0" w:afterAutospacing="0"/>
        <w:rPr>
          <w:rFonts w:ascii="Bradley Hand ITC" w:hAnsi="Bradley Hand ITC"/>
          <w:sz w:val="22"/>
          <w:szCs w:val="22"/>
        </w:rPr>
      </w:pPr>
    </w:p>
    <w:p w14:paraId="0AF4A6E2" w14:textId="77777777" w:rsidR="009536B1" w:rsidRPr="009536B1" w:rsidRDefault="009536B1" w:rsidP="009536B1">
      <w:pPr>
        <w:spacing w:line="240" w:lineRule="auto"/>
        <w:jc w:val="both"/>
        <w:rPr>
          <w:rFonts w:ascii="Century Gothic" w:eastAsia="Times New Roman" w:hAnsi="Century Gothic" w:cs="Times New Roman"/>
          <w:color w:val="0F243E" w:themeColor="text2" w:themeShade="80"/>
          <w:sz w:val="19"/>
          <w:szCs w:val="19"/>
        </w:rPr>
      </w:pPr>
      <w:r w:rsidRPr="009536B1">
        <w:rPr>
          <w:rFonts w:ascii="Century Gothic" w:eastAsia="Times New Roman" w:hAnsi="Century Gothic"/>
          <w:b/>
          <w:bCs/>
          <w:color w:val="0F243E" w:themeColor="text2" w:themeShade="80"/>
          <w:sz w:val="19"/>
          <w:szCs w:val="19"/>
          <w:u w:val="single"/>
        </w:rPr>
        <w:t>EYFS Educational Program of Study</w:t>
      </w:r>
    </w:p>
    <w:p w14:paraId="66B2E439" w14:textId="77777777" w:rsidR="009536B1" w:rsidRPr="009536B1" w:rsidRDefault="009536B1" w:rsidP="009536B1">
      <w:pPr>
        <w:spacing w:line="240" w:lineRule="auto"/>
        <w:jc w:val="both"/>
        <w:rPr>
          <w:rFonts w:ascii="Century Gothic" w:eastAsia="Times New Roman" w:hAnsi="Century Gothic" w:cs="Times New Roman"/>
          <w:color w:val="0F243E" w:themeColor="text2" w:themeShade="80"/>
          <w:sz w:val="19"/>
          <w:szCs w:val="19"/>
        </w:rPr>
      </w:pPr>
      <w:r w:rsidRPr="009536B1">
        <w:rPr>
          <w:rFonts w:ascii="Century Gothic" w:eastAsia="Times New Roman" w:hAnsi="Century Gothic"/>
          <w:color w:val="0F243E" w:themeColor="text2" w:themeShade="80"/>
          <w:sz w:val="19"/>
          <w:szCs w:val="19"/>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r w:rsidRPr="009536B1">
        <w:rPr>
          <w:rFonts w:ascii="Century Gothic" w:eastAsia="Times New Roman" w:hAnsi="Century Gothic"/>
          <w:b/>
          <w:bCs/>
          <w:i/>
          <w:iCs/>
          <w:color w:val="0F243E" w:themeColor="text2" w:themeShade="80"/>
          <w:sz w:val="19"/>
          <w:szCs w:val="19"/>
          <w:shd w:val="clear" w:color="auto" w:fill="FFFFFF"/>
        </w:rPr>
        <w:t>Please see the ‘Teaching and Learning Strand Progression Map’ which outlines Reception objectives from ‘Development Matters’ and the Early Learning Goals from the EYFS statutory framework that feed specifically into the national curriculum subject of PSHE.</w:t>
      </w:r>
    </w:p>
    <w:p w14:paraId="77EA3A6B" w14:textId="77777777" w:rsidR="009536B1" w:rsidRPr="009536B1" w:rsidRDefault="009536B1" w:rsidP="009536B1">
      <w:pPr>
        <w:spacing w:line="240" w:lineRule="auto"/>
        <w:jc w:val="both"/>
        <w:rPr>
          <w:rFonts w:ascii="Century Gothic" w:eastAsia="Times New Roman" w:hAnsi="Century Gothic" w:cs="Times New Roman"/>
          <w:color w:val="0F243E" w:themeColor="text2" w:themeShade="80"/>
          <w:sz w:val="19"/>
          <w:szCs w:val="19"/>
        </w:rPr>
      </w:pPr>
      <w:r w:rsidRPr="009536B1">
        <w:rPr>
          <w:rFonts w:ascii="Century Gothic" w:eastAsia="Times New Roman" w:hAnsi="Century Gothic"/>
          <w:b/>
          <w:bCs/>
          <w:color w:val="0F243E" w:themeColor="text2" w:themeShade="80"/>
          <w:sz w:val="19"/>
          <w:szCs w:val="19"/>
          <w:u w:val="single"/>
        </w:rPr>
        <w:t>National Curriculum Purpose of Study</w:t>
      </w:r>
    </w:p>
    <w:p w14:paraId="4ECB1EFB" w14:textId="5A647067" w:rsidR="009536B1" w:rsidRPr="009536B1" w:rsidRDefault="009536B1" w:rsidP="009536B1">
      <w:pPr>
        <w:shd w:val="clear" w:color="auto" w:fill="FFFFFF"/>
        <w:spacing w:after="0" w:line="240" w:lineRule="auto"/>
        <w:jc w:val="both"/>
        <w:rPr>
          <w:rFonts w:ascii="Century Gothic" w:eastAsia="Times New Roman" w:hAnsi="Century Gothic"/>
          <w:color w:val="0F243E" w:themeColor="text2" w:themeShade="80"/>
          <w:sz w:val="19"/>
          <w:szCs w:val="19"/>
        </w:rPr>
      </w:pPr>
      <w:r w:rsidRPr="009536B1">
        <w:rPr>
          <w:rFonts w:ascii="Century Gothic" w:eastAsia="Times New Roman" w:hAnsi="Century Gothic"/>
          <w:color w:val="0F243E" w:themeColor="text2" w:themeShade="80"/>
          <w:sz w:val="19"/>
          <w:szCs w:val="19"/>
        </w:rPr>
        <w:t>Personal, social, health and economic (PSHE) education is an important and necessary part of all pupils’ education. All schools should teach PSHE, drawing on good practice, and this expectation is outlined in the introduction to the proposed new national curriculum. PSHE is a non-statutory subject. To allow teachers the flexibility to deliver high-quality PSHE we consider it unnecessary to provide new standardised frameworks or programmes of study. PSHE can encompass many areas of study. Teachers are best placed to understand the needs of their pupils and do not need additional central prescription. However, while we believe that it is for schools to tailor their local PSHE programme to reflect the needs of their pupils, we expect schools to use their PSHE education programme to equip pupils with a sound understanding of risk and with the knowledge and skills necessary to make safe and informed decisions. Schools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14:paraId="5A391881" w14:textId="77777777" w:rsidR="009536B1" w:rsidRPr="009536B1" w:rsidRDefault="009536B1" w:rsidP="009536B1">
      <w:pPr>
        <w:shd w:val="clear" w:color="auto" w:fill="FFFFFF"/>
        <w:spacing w:after="0" w:line="240" w:lineRule="auto"/>
        <w:jc w:val="both"/>
        <w:rPr>
          <w:rFonts w:ascii="Century Gothic" w:eastAsia="Times New Roman" w:hAnsi="Century Gothic" w:cs="Times New Roman"/>
          <w:color w:val="0F243E" w:themeColor="text2" w:themeShade="80"/>
          <w:sz w:val="19"/>
          <w:szCs w:val="19"/>
        </w:rPr>
      </w:pPr>
    </w:p>
    <w:p w14:paraId="6170615E" w14:textId="1C647C34" w:rsidR="009536B1" w:rsidRPr="009536B1" w:rsidRDefault="009536B1" w:rsidP="009536B1">
      <w:pPr>
        <w:shd w:val="clear" w:color="auto" w:fill="FFFFFF"/>
        <w:spacing w:after="0" w:line="240" w:lineRule="auto"/>
        <w:jc w:val="both"/>
        <w:rPr>
          <w:rFonts w:ascii="Century Gothic" w:eastAsia="Times New Roman" w:hAnsi="Century Gothic" w:cs="Times New Roman"/>
          <w:color w:val="0F243E" w:themeColor="text2" w:themeShade="80"/>
          <w:sz w:val="19"/>
          <w:szCs w:val="19"/>
        </w:rPr>
      </w:pPr>
      <w:r w:rsidRPr="009536B1">
        <w:rPr>
          <w:rFonts w:ascii="Century Gothic" w:eastAsia="Times New Roman" w:hAnsi="Century Gothic"/>
          <w:b/>
          <w:bCs/>
          <w:color w:val="0F243E" w:themeColor="text2" w:themeShade="80"/>
          <w:sz w:val="19"/>
          <w:szCs w:val="19"/>
          <w:u w:val="single"/>
        </w:rPr>
        <w:t xml:space="preserve">Sex and </w:t>
      </w:r>
      <w:r>
        <w:rPr>
          <w:rFonts w:ascii="Century Gothic" w:eastAsia="Times New Roman" w:hAnsi="Century Gothic"/>
          <w:b/>
          <w:bCs/>
          <w:color w:val="0F243E" w:themeColor="text2" w:themeShade="80"/>
          <w:sz w:val="19"/>
          <w:szCs w:val="19"/>
          <w:u w:val="single"/>
        </w:rPr>
        <w:t>R</w:t>
      </w:r>
      <w:r w:rsidRPr="009536B1">
        <w:rPr>
          <w:rFonts w:ascii="Century Gothic" w:eastAsia="Times New Roman" w:hAnsi="Century Gothic"/>
          <w:b/>
          <w:bCs/>
          <w:color w:val="0F243E" w:themeColor="text2" w:themeShade="80"/>
          <w:sz w:val="19"/>
          <w:szCs w:val="19"/>
          <w:u w:val="single"/>
        </w:rPr>
        <w:t xml:space="preserve">elationship </w:t>
      </w:r>
      <w:r>
        <w:rPr>
          <w:rFonts w:ascii="Century Gothic" w:eastAsia="Times New Roman" w:hAnsi="Century Gothic"/>
          <w:b/>
          <w:bCs/>
          <w:color w:val="0F243E" w:themeColor="text2" w:themeShade="80"/>
          <w:sz w:val="19"/>
          <w:szCs w:val="19"/>
          <w:u w:val="single"/>
        </w:rPr>
        <w:t>E</w:t>
      </w:r>
      <w:r w:rsidRPr="009536B1">
        <w:rPr>
          <w:rFonts w:ascii="Century Gothic" w:eastAsia="Times New Roman" w:hAnsi="Century Gothic"/>
          <w:b/>
          <w:bCs/>
          <w:color w:val="0F243E" w:themeColor="text2" w:themeShade="80"/>
          <w:sz w:val="19"/>
          <w:szCs w:val="19"/>
          <w:u w:val="single"/>
        </w:rPr>
        <w:t>ducation</w:t>
      </w:r>
    </w:p>
    <w:p w14:paraId="16AE7600" w14:textId="3F7E163B" w:rsidR="009536B1" w:rsidRDefault="009536B1" w:rsidP="009536B1">
      <w:pPr>
        <w:shd w:val="clear" w:color="auto" w:fill="FFFFFF"/>
        <w:spacing w:after="0" w:line="240" w:lineRule="auto"/>
        <w:jc w:val="both"/>
        <w:rPr>
          <w:rFonts w:ascii="Century Gothic" w:eastAsia="Times New Roman" w:hAnsi="Century Gothic"/>
          <w:color w:val="0F243E" w:themeColor="text2" w:themeShade="80"/>
          <w:sz w:val="19"/>
          <w:szCs w:val="19"/>
        </w:rPr>
      </w:pPr>
      <w:r w:rsidRPr="009536B1">
        <w:rPr>
          <w:rFonts w:ascii="Century Gothic" w:eastAsia="Times New Roman" w:hAnsi="Century Gothic"/>
          <w:color w:val="0F243E" w:themeColor="text2" w:themeShade="80"/>
          <w:sz w:val="19"/>
          <w:szCs w:val="19"/>
        </w:rPr>
        <w:t xml:space="preserve">Sex and </w:t>
      </w:r>
      <w:r>
        <w:rPr>
          <w:rFonts w:ascii="Century Gothic" w:eastAsia="Times New Roman" w:hAnsi="Century Gothic"/>
          <w:color w:val="0F243E" w:themeColor="text2" w:themeShade="80"/>
          <w:sz w:val="19"/>
          <w:szCs w:val="19"/>
        </w:rPr>
        <w:t>R</w:t>
      </w:r>
      <w:r w:rsidRPr="009536B1">
        <w:rPr>
          <w:rFonts w:ascii="Century Gothic" w:eastAsia="Times New Roman" w:hAnsi="Century Gothic"/>
          <w:color w:val="0F243E" w:themeColor="text2" w:themeShade="80"/>
          <w:sz w:val="19"/>
          <w:szCs w:val="19"/>
        </w:rPr>
        <w:t xml:space="preserve">elationship </w:t>
      </w:r>
      <w:r>
        <w:rPr>
          <w:rFonts w:ascii="Century Gothic" w:eastAsia="Times New Roman" w:hAnsi="Century Gothic"/>
          <w:color w:val="0F243E" w:themeColor="text2" w:themeShade="80"/>
          <w:sz w:val="19"/>
          <w:szCs w:val="19"/>
        </w:rPr>
        <w:t>E</w:t>
      </w:r>
      <w:r w:rsidRPr="009536B1">
        <w:rPr>
          <w:rFonts w:ascii="Century Gothic" w:eastAsia="Times New Roman" w:hAnsi="Century Gothic"/>
          <w:color w:val="0F243E" w:themeColor="text2" w:themeShade="80"/>
          <w:sz w:val="19"/>
          <w:szCs w:val="19"/>
        </w:rPr>
        <w:t>ducation (SRE) is an important part of PSHE education and is statutory in maintained secondary schools. When any school provides SRE they must have regard to the </w:t>
      </w:r>
      <w:hyperlink r:id="rId12" w:history="1">
        <w:r w:rsidRPr="009536B1">
          <w:rPr>
            <w:rFonts w:ascii="Century Gothic" w:eastAsia="Times New Roman" w:hAnsi="Century Gothic"/>
            <w:color w:val="0F243E" w:themeColor="text2" w:themeShade="80"/>
            <w:sz w:val="19"/>
            <w:szCs w:val="19"/>
            <w:u w:val="single"/>
          </w:rPr>
          <w:t>Secretary of State’s guidance</w:t>
        </w:r>
      </w:hyperlink>
      <w:r w:rsidRPr="009536B1">
        <w:rPr>
          <w:rFonts w:ascii="Century Gothic" w:eastAsia="Times New Roman" w:hAnsi="Century Gothic"/>
          <w:color w:val="0F243E" w:themeColor="text2" w:themeShade="80"/>
          <w:sz w:val="19"/>
          <w:szCs w:val="19"/>
        </w:rPr>
        <w:t> ; this is a statutory duty. Academies do not have to provide SRE but must also have regard to Secretary of State’s guidance when they do.</w:t>
      </w:r>
    </w:p>
    <w:p w14:paraId="2FC0B8CB" w14:textId="77777777" w:rsidR="009536B1" w:rsidRPr="009536B1" w:rsidRDefault="009536B1" w:rsidP="009536B1">
      <w:pPr>
        <w:shd w:val="clear" w:color="auto" w:fill="FFFFFF"/>
        <w:spacing w:after="0" w:line="240" w:lineRule="auto"/>
        <w:jc w:val="both"/>
        <w:rPr>
          <w:rFonts w:ascii="Century Gothic" w:eastAsia="Times New Roman" w:hAnsi="Century Gothic"/>
          <w:color w:val="0F243E" w:themeColor="text2" w:themeShade="80"/>
          <w:sz w:val="19"/>
          <w:szCs w:val="19"/>
        </w:rPr>
      </w:pPr>
    </w:p>
    <w:p w14:paraId="350B98A8" w14:textId="3947E87A" w:rsidR="00E87977" w:rsidRPr="000C680B" w:rsidRDefault="0044473A" w:rsidP="009536B1">
      <w:pPr>
        <w:spacing w:line="240" w:lineRule="auto"/>
        <w:jc w:val="center"/>
        <w:rPr>
          <w:rFonts w:ascii="Century Gothic" w:eastAsia="Arial" w:hAnsi="Century Gothic" w:cs="Arial"/>
          <w:b/>
          <w:color w:val="0F243E" w:themeColor="text2" w:themeShade="80"/>
          <w:sz w:val="19"/>
          <w:szCs w:val="19"/>
          <w:u w:val="single"/>
        </w:rPr>
      </w:pPr>
      <w:r w:rsidRPr="000C680B">
        <w:rPr>
          <w:rFonts w:ascii="Century Gothic" w:eastAsia="Arial" w:hAnsi="Century Gothic" w:cs="Arial"/>
          <w:b/>
          <w:color w:val="0F243E" w:themeColor="text2" w:themeShade="80"/>
          <w:sz w:val="19"/>
          <w:szCs w:val="19"/>
          <w:u w:val="single"/>
        </w:rPr>
        <w:t>Learner Characteristics</w:t>
      </w:r>
    </w:p>
    <w:tbl>
      <w:tblPr>
        <w:tblStyle w:val="TableGrid"/>
        <w:tblW w:w="0" w:type="auto"/>
        <w:tblInd w:w="-147" w:type="dxa"/>
        <w:tblLook w:val="04A0" w:firstRow="1" w:lastRow="0" w:firstColumn="1" w:lastColumn="0" w:noHBand="0" w:noVBand="1"/>
      </w:tblPr>
      <w:tblGrid>
        <w:gridCol w:w="3443"/>
        <w:gridCol w:w="3443"/>
        <w:gridCol w:w="3444"/>
      </w:tblGrid>
      <w:tr w:rsidR="00470D68" w:rsidRPr="000C680B" w14:paraId="1EDB512D" w14:textId="77777777" w:rsidTr="00E87977">
        <w:tc>
          <w:tcPr>
            <w:tcW w:w="3443" w:type="dxa"/>
          </w:tcPr>
          <w:p w14:paraId="28BE7321" w14:textId="77777777" w:rsidR="00470D68" w:rsidRPr="000C680B" w:rsidRDefault="00470D68" w:rsidP="00470D68">
            <w:pPr>
              <w:spacing w:before="220" w:after="220"/>
              <w:jc w:val="center"/>
              <w:rPr>
                <w:rFonts w:ascii="Century Gothic" w:eastAsia="Arial" w:hAnsi="Century Gothic" w:cs="Arial"/>
                <w:b/>
                <w:color w:val="C00000"/>
                <w:sz w:val="19"/>
                <w:szCs w:val="19"/>
                <w:u w:val="single"/>
              </w:rPr>
            </w:pPr>
            <w:r w:rsidRPr="000C680B">
              <w:rPr>
                <w:rFonts w:ascii="Century Gothic" w:eastAsia="Arial" w:hAnsi="Century Gothic" w:cs="Arial"/>
                <w:b/>
                <w:color w:val="C00000"/>
                <w:sz w:val="19"/>
                <w:szCs w:val="19"/>
              </w:rPr>
              <w:t>Curiosity</w:t>
            </w:r>
          </w:p>
        </w:tc>
        <w:tc>
          <w:tcPr>
            <w:tcW w:w="3443" w:type="dxa"/>
          </w:tcPr>
          <w:p w14:paraId="2D538C3C" w14:textId="77777777" w:rsidR="00470D68" w:rsidRPr="000C680B" w:rsidRDefault="00470D68" w:rsidP="00470D68">
            <w:pPr>
              <w:jc w:val="center"/>
              <w:rPr>
                <w:rFonts w:ascii="Century Gothic" w:eastAsia="Arial" w:hAnsi="Century Gothic" w:cs="Arial"/>
                <w:b/>
                <w:color w:val="333399"/>
                <w:sz w:val="19"/>
                <w:szCs w:val="19"/>
              </w:rPr>
            </w:pPr>
          </w:p>
          <w:p w14:paraId="7937AC11" w14:textId="77777777" w:rsidR="00470D68" w:rsidRPr="000C680B" w:rsidRDefault="00470D68" w:rsidP="00470D68">
            <w:pPr>
              <w:jc w:val="center"/>
              <w:rPr>
                <w:rFonts w:ascii="Century Gothic" w:eastAsia="Arial" w:hAnsi="Century Gothic" w:cs="Arial"/>
                <w:color w:val="333399"/>
                <w:sz w:val="19"/>
                <w:szCs w:val="19"/>
              </w:rPr>
            </w:pPr>
            <w:r w:rsidRPr="000C680B">
              <w:rPr>
                <w:rFonts w:ascii="Century Gothic" w:eastAsia="Arial" w:hAnsi="Century Gothic" w:cs="Arial"/>
                <w:b/>
                <w:color w:val="333399"/>
                <w:sz w:val="19"/>
                <w:szCs w:val="19"/>
              </w:rPr>
              <w:t>Community</w:t>
            </w:r>
          </w:p>
          <w:p w14:paraId="67D0F2F2" w14:textId="77777777" w:rsidR="00470D68" w:rsidRPr="000C680B" w:rsidRDefault="00470D68" w:rsidP="00470D68">
            <w:pPr>
              <w:jc w:val="center"/>
              <w:rPr>
                <w:rFonts w:ascii="Century Gothic" w:eastAsia="Arial" w:hAnsi="Century Gothic" w:cs="Arial"/>
                <w:b/>
                <w:color w:val="333399"/>
                <w:sz w:val="19"/>
                <w:szCs w:val="19"/>
                <w:u w:val="single"/>
                <w14:textFill>
                  <w14:solidFill>
                    <w14:srgbClr w14:val="333399">
                      <w14:lumMod w14:val="50000"/>
                    </w14:srgbClr>
                  </w14:solidFill>
                </w14:textFill>
              </w:rPr>
            </w:pPr>
          </w:p>
        </w:tc>
        <w:tc>
          <w:tcPr>
            <w:tcW w:w="3444" w:type="dxa"/>
          </w:tcPr>
          <w:p w14:paraId="560527F9" w14:textId="77777777" w:rsidR="00470D68" w:rsidRPr="000C680B" w:rsidRDefault="00470D68" w:rsidP="00470D68">
            <w:pPr>
              <w:spacing w:before="220" w:after="220"/>
              <w:jc w:val="center"/>
              <w:rPr>
                <w:rFonts w:ascii="Century Gothic" w:eastAsia="Arial" w:hAnsi="Century Gothic" w:cs="Arial"/>
                <w:b/>
                <w:color w:val="002060"/>
                <w:sz w:val="19"/>
                <w:szCs w:val="19"/>
              </w:rPr>
            </w:pPr>
            <w:r w:rsidRPr="000C680B">
              <w:rPr>
                <w:rFonts w:ascii="Century Gothic" w:eastAsia="Arial" w:hAnsi="Century Gothic" w:cs="Arial"/>
                <w:b/>
                <w:color w:val="002060"/>
                <w:sz w:val="19"/>
                <w:szCs w:val="19"/>
              </w:rPr>
              <w:t>Cultural Diversity</w:t>
            </w:r>
          </w:p>
        </w:tc>
      </w:tr>
      <w:tr w:rsidR="00470D68" w:rsidRPr="000C680B" w14:paraId="38C03C75" w14:textId="77777777" w:rsidTr="00E87977">
        <w:tc>
          <w:tcPr>
            <w:tcW w:w="3443" w:type="dxa"/>
            <w:vAlign w:val="center"/>
          </w:tcPr>
          <w:p w14:paraId="6F81504E" w14:textId="77777777" w:rsidR="009536B1" w:rsidRPr="009536B1" w:rsidRDefault="009536B1" w:rsidP="009536B1">
            <w:pPr>
              <w:pStyle w:val="NormalWeb"/>
              <w:spacing w:before="0" w:beforeAutospacing="0" w:after="160" w:afterAutospacing="0"/>
              <w:jc w:val="center"/>
              <w:textAlignment w:val="baseline"/>
              <w:rPr>
                <w:rFonts w:ascii="Century Gothic" w:hAnsi="Century Gothic" w:cs="Calibri"/>
                <w:bCs/>
                <w:color w:val="FF0000"/>
                <w:sz w:val="19"/>
                <w:szCs w:val="19"/>
              </w:rPr>
            </w:pPr>
            <w:r w:rsidRPr="009536B1">
              <w:rPr>
                <w:rFonts w:ascii="Century Gothic" w:hAnsi="Century Gothic" w:cs="Calibri"/>
                <w:bCs/>
                <w:color w:val="FF0000"/>
                <w:sz w:val="19"/>
                <w:szCs w:val="19"/>
              </w:rPr>
              <w:t>To promote an attitude of open mindedness, leading to questioning and reflection.</w:t>
            </w:r>
          </w:p>
          <w:p w14:paraId="4EF2A5A3" w14:textId="77777777" w:rsidR="009536B1" w:rsidRPr="009536B1" w:rsidRDefault="009536B1" w:rsidP="009536B1">
            <w:pPr>
              <w:pStyle w:val="NormalWeb"/>
              <w:spacing w:before="0" w:beforeAutospacing="0" w:after="0" w:afterAutospacing="0"/>
              <w:jc w:val="center"/>
              <w:textAlignment w:val="baseline"/>
              <w:rPr>
                <w:rFonts w:ascii="Century Gothic" w:hAnsi="Century Gothic" w:cs="Calibri"/>
                <w:bCs/>
                <w:color w:val="FF0000"/>
                <w:sz w:val="19"/>
                <w:szCs w:val="19"/>
              </w:rPr>
            </w:pPr>
            <w:r w:rsidRPr="009536B1">
              <w:rPr>
                <w:rFonts w:ascii="Century Gothic" w:hAnsi="Century Gothic" w:cs="Calibri"/>
                <w:bCs/>
                <w:color w:val="FF0000"/>
                <w:sz w:val="19"/>
                <w:szCs w:val="19"/>
              </w:rPr>
              <w:t>To encourage independent thinking.</w:t>
            </w:r>
          </w:p>
          <w:p w14:paraId="5EC5FD65" w14:textId="0E3DAF78" w:rsidR="00470D68" w:rsidRPr="009536B1" w:rsidRDefault="00470D68" w:rsidP="009536B1">
            <w:pPr>
              <w:pStyle w:val="NormalWeb"/>
              <w:spacing w:before="0" w:beforeAutospacing="0" w:after="160" w:afterAutospacing="0"/>
              <w:jc w:val="center"/>
              <w:textAlignment w:val="baseline"/>
              <w:rPr>
                <w:rFonts w:ascii="Century Gothic" w:hAnsi="Century Gothic"/>
                <w:bCs/>
                <w:color w:val="FF0000"/>
                <w:sz w:val="19"/>
                <w:szCs w:val="19"/>
              </w:rPr>
            </w:pPr>
          </w:p>
        </w:tc>
        <w:tc>
          <w:tcPr>
            <w:tcW w:w="3443" w:type="dxa"/>
            <w:vAlign w:val="center"/>
          </w:tcPr>
          <w:p w14:paraId="432D49B8" w14:textId="77777777" w:rsidR="009536B1" w:rsidRDefault="009536B1" w:rsidP="009536B1">
            <w:pPr>
              <w:pStyle w:val="NormalWeb"/>
              <w:spacing w:before="0" w:beforeAutospacing="0" w:after="0" w:afterAutospacing="0"/>
              <w:jc w:val="center"/>
              <w:textAlignment w:val="baseline"/>
              <w:rPr>
                <w:rFonts w:ascii="Century Gothic" w:hAnsi="Century Gothic" w:cs="Calibri"/>
                <w:bCs/>
                <w:color w:val="7030A0"/>
                <w:sz w:val="19"/>
                <w:szCs w:val="19"/>
              </w:rPr>
            </w:pPr>
          </w:p>
          <w:p w14:paraId="620F7C8B" w14:textId="3D6412AD" w:rsidR="009536B1" w:rsidRPr="009536B1" w:rsidRDefault="009536B1" w:rsidP="009536B1">
            <w:pPr>
              <w:pStyle w:val="NormalWeb"/>
              <w:spacing w:before="0" w:beforeAutospacing="0" w:after="0" w:afterAutospacing="0"/>
              <w:jc w:val="center"/>
              <w:textAlignment w:val="baseline"/>
              <w:rPr>
                <w:rFonts w:ascii="Century Gothic" w:hAnsi="Century Gothic" w:cs="Calibri"/>
                <w:bCs/>
                <w:color w:val="7030A0"/>
                <w:sz w:val="19"/>
                <w:szCs w:val="19"/>
              </w:rPr>
            </w:pPr>
            <w:r w:rsidRPr="009536B1">
              <w:rPr>
                <w:rFonts w:ascii="Century Gothic" w:hAnsi="Century Gothic" w:cs="Calibri"/>
                <w:bCs/>
                <w:color w:val="7030A0"/>
                <w:sz w:val="19"/>
                <w:szCs w:val="19"/>
              </w:rPr>
              <w:t>To build skills in communicating and understanding others.</w:t>
            </w:r>
          </w:p>
          <w:p w14:paraId="0729DD08" w14:textId="306F06CC" w:rsidR="009536B1" w:rsidRDefault="009536B1" w:rsidP="009536B1">
            <w:pPr>
              <w:pStyle w:val="NormalWeb"/>
              <w:spacing w:before="0" w:beforeAutospacing="0" w:after="0" w:afterAutospacing="0"/>
              <w:jc w:val="center"/>
              <w:textAlignment w:val="baseline"/>
              <w:rPr>
                <w:rFonts w:ascii="Century Gothic" w:hAnsi="Century Gothic" w:cs="Calibri"/>
                <w:bCs/>
                <w:color w:val="7030A0"/>
                <w:sz w:val="19"/>
                <w:szCs w:val="19"/>
              </w:rPr>
            </w:pPr>
            <w:r w:rsidRPr="009536B1">
              <w:rPr>
                <w:rFonts w:ascii="Century Gothic" w:hAnsi="Century Gothic" w:cs="Calibri"/>
                <w:bCs/>
                <w:color w:val="7030A0"/>
                <w:sz w:val="19"/>
                <w:szCs w:val="19"/>
              </w:rPr>
              <w:t>To express ideas freely, question ideas and reflect.</w:t>
            </w:r>
          </w:p>
          <w:p w14:paraId="2E649A40" w14:textId="323F31BE" w:rsidR="009536B1" w:rsidRPr="009536B1" w:rsidRDefault="009536B1" w:rsidP="009536B1">
            <w:pPr>
              <w:pStyle w:val="NormalWeb"/>
              <w:spacing w:before="0" w:beforeAutospacing="0" w:after="0" w:afterAutospacing="0"/>
              <w:jc w:val="center"/>
              <w:textAlignment w:val="baseline"/>
              <w:rPr>
                <w:rFonts w:ascii="Century Gothic" w:hAnsi="Century Gothic" w:cs="Calibri"/>
                <w:bCs/>
                <w:color w:val="7030A0"/>
                <w:sz w:val="19"/>
                <w:szCs w:val="19"/>
              </w:rPr>
            </w:pPr>
            <w:r w:rsidRPr="009536B1">
              <w:rPr>
                <w:rFonts w:ascii="Century Gothic" w:hAnsi="Century Gothic" w:cs="Calibri"/>
                <w:bCs/>
                <w:color w:val="7030A0"/>
                <w:sz w:val="19"/>
                <w:szCs w:val="19"/>
              </w:rPr>
              <w:br/>
            </w:r>
            <w:r>
              <w:rPr>
                <w:rFonts w:ascii="Century Gothic" w:hAnsi="Century Gothic" w:cs="Calibri"/>
                <w:bCs/>
                <w:color w:val="7030A0"/>
                <w:sz w:val="19"/>
                <w:szCs w:val="19"/>
              </w:rPr>
              <w:t>U</w:t>
            </w:r>
            <w:r w:rsidRPr="009536B1">
              <w:rPr>
                <w:rFonts w:ascii="Century Gothic" w:hAnsi="Century Gothic" w:cs="Calibri"/>
                <w:bCs/>
                <w:color w:val="7030A0"/>
                <w:sz w:val="19"/>
                <w:szCs w:val="19"/>
              </w:rPr>
              <w:t>nderstanding the importance of effort.</w:t>
            </w:r>
          </w:p>
          <w:p w14:paraId="6C96E18F" w14:textId="10116317" w:rsidR="000C680B" w:rsidRPr="009536B1" w:rsidRDefault="000C680B" w:rsidP="009536B1">
            <w:pPr>
              <w:pStyle w:val="NormalWeb"/>
              <w:spacing w:before="0" w:beforeAutospacing="0" w:after="0" w:afterAutospacing="0"/>
              <w:jc w:val="center"/>
              <w:textAlignment w:val="baseline"/>
              <w:rPr>
                <w:rFonts w:ascii="Century Gothic" w:hAnsi="Century Gothic" w:cs="Calibri"/>
                <w:color w:val="7030A0"/>
                <w:sz w:val="19"/>
                <w:szCs w:val="19"/>
              </w:rPr>
            </w:pPr>
          </w:p>
        </w:tc>
        <w:tc>
          <w:tcPr>
            <w:tcW w:w="3444" w:type="dxa"/>
            <w:vAlign w:val="center"/>
          </w:tcPr>
          <w:p w14:paraId="13A84087" w14:textId="2F9CE0F6" w:rsidR="00470D68" w:rsidRPr="009536B1" w:rsidRDefault="009536B1" w:rsidP="009536B1">
            <w:pPr>
              <w:pStyle w:val="NormalWeb"/>
              <w:spacing w:before="220" w:beforeAutospacing="0" w:after="220" w:afterAutospacing="0"/>
              <w:jc w:val="center"/>
              <w:textAlignment w:val="baseline"/>
              <w:rPr>
                <w:rFonts w:ascii="Century Gothic" w:hAnsi="Century Gothic"/>
                <w:bCs/>
                <w:color w:val="073763"/>
                <w:sz w:val="19"/>
                <w:szCs w:val="19"/>
              </w:rPr>
            </w:pPr>
            <w:r w:rsidRPr="009536B1">
              <w:rPr>
                <w:rFonts w:ascii="Century Gothic" w:hAnsi="Century Gothic" w:cs="Calibri"/>
                <w:bCs/>
                <w:color w:val="0F243E" w:themeColor="text2" w:themeShade="80"/>
                <w:sz w:val="19"/>
                <w:szCs w:val="19"/>
              </w:rPr>
              <w:t>Try new things</w:t>
            </w:r>
            <w:r w:rsidRPr="009536B1">
              <w:rPr>
                <w:rFonts w:ascii="Century Gothic" w:hAnsi="Century Gothic" w:cs="Calibri"/>
                <w:bCs/>
                <w:color w:val="0F243E" w:themeColor="text2" w:themeShade="80"/>
                <w:sz w:val="19"/>
                <w:szCs w:val="19"/>
              </w:rPr>
              <w:br/>
              <w:t>This concept involves appreciating the range of life opportunities.</w:t>
            </w:r>
            <w:r w:rsidRPr="009536B1">
              <w:rPr>
                <w:rFonts w:ascii="Century Gothic" w:hAnsi="Century Gothic" w:cs="Calibri"/>
                <w:bCs/>
                <w:color w:val="0F243E" w:themeColor="text2" w:themeShade="80"/>
                <w:sz w:val="19"/>
                <w:szCs w:val="19"/>
              </w:rPr>
              <w:br/>
            </w:r>
            <w:r w:rsidRPr="009536B1">
              <w:rPr>
                <w:rFonts w:ascii="Century Gothic" w:hAnsi="Century Gothic" w:cs="Calibri"/>
                <w:bCs/>
                <w:color w:val="000000"/>
                <w:sz w:val="19"/>
                <w:szCs w:val="19"/>
              </w:rPr>
              <w:br/>
            </w:r>
          </w:p>
        </w:tc>
        <w:bookmarkStart w:id="1" w:name="_GoBack"/>
        <w:bookmarkEnd w:id="1"/>
      </w:tr>
    </w:tbl>
    <w:tbl>
      <w:tblPr>
        <w:tblStyle w:val="TableGrid"/>
        <w:tblpPr w:leftFromText="180" w:rightFromText="180" w:vertAnchor="text" w:horzAnchor="margin" w:tblpX="-147" w:tblpY="725"/>
        <w:tblW w:w="10343" w:type="dxa"/>
        <w:tblLook w:val="04A0" w:firstRow="1" w:lastRow="0" w:firstColumn="1" w:lastColumn="0" w:noHBand="0" w:noVBand="1"/>
      </w:tblPr>
      <w:tblGrid>
        <w:gridCol w:w="1994"/>
        <w:gridCol w:w="1700"/>
        <w:gridCol w:w="1700"/>
        <w:gridCol w:w="1700"/>
        <w:gridCol w:w="1700"/>
        <w:gridCol w:w="1549"/>
      </w:tblGrid>
      <w:tr w:rsidR="009536B1" w:rsidRPr="000C680B" w14:paraId="3AA54A63" w14:textId="77777777" w:rsidTr="009536B1">
        <w:tc>
          <w:tcPr>
            <w:tcW w:w="10343" w:type="dxa"/>
            <w:gridSpan w:val="6"/>
            <w:vAlign w:val="center"/>
          </w:tcPr>
          <w:p w14:paraId="728CF92D" w14:textId="77777777" w:rsidR="009536B1" w:rsidRDefault="009536B1" w:rsidP="009536B1">
            <w:pPr>
              <w:jc w:val="center"/>
              <w:rPr>
                <w:rFonts w:ascii="Century Gothic" w:eastAsia="Arial" w:hAnsi="Century Gothic" w:cs="Arial"/>
                <w:color w:val="0F243E" w:themeColor="text2" w:themeShade="80"/>
                <w:sz w:val="19"/>
                <w:szCs w:val="19"/>
              </w:rPr>
            </w:pPr>
          </w:p>
          <w:p w14:paraId="40081884" w14:textId="275492B5" w:rsidR="009536B1" w:rsidRDefault="009536B1" w:rsidP="009536B1">
            <w:pPr>
              <w:jc w:val="center"/>
              <w:rPr>
                <w:rFonts w:ascii="Century Gothic" w:eastAsia="Arial" w:hAnsi="Century Gothic" w:cs="Arial"/>
                <w:color w:val="0F243E" w:themeColor="text2" w:themeShade="80"/>
                <w:sz w:val="19"/>
                <w:szCs w:val="19"/>
              </w:rPr>
            </w:pPr>
            <w:r w:rsidRPr="009536B1">
              <w:rPr>
                <w:rFonts w:ascii="Century Gothic" w:eastAsia="Arial" w:hAnsi="Century Gothic" w:cs="Arial"/>
                <w:color w:val="0F243E" w:themeColor="text2" w:themeShade="80"/>
                <w:sz w:val="19"/>
                <w:szCs w:val="19"/>
              </w:rPr>
              <w:t>Jigsaw Units</w:t>
            </w:r>
          </w:p>
          <w:p w14:paraId="5A6DA023" w14:textId="27F6BEF2" w:rsidR="009536B1" w:rsidRPr="009536B1" w:rsidRDefault="009536B1" w:rsidP="009536B1">
            <w:pPr>
              <w:jc w:val="center"/>
              <w:rPr>
                <w:rFonts w:ascii="Century Gothic" w:eastAsia="Arial" w:hAnsi="Century Gothic" w:cs="Arial"/>
                <w:color w:val="0F243E" w:themeColor="text2" w:themeShade="80"/>
                <w:sz w:val="19"/>
                <w:szCs w:val="19"/>
              </w:rPr>
            </w:pPr>
          </w:p>
        </w:tc>
      </w:tr>
      <w:tr w:rsidR="00E87977" w:rsidRPr="000C680B" w14:paraId="01CD0C86" w14:textId="77777777" w:rsidTr="009536B1">
        <w:tc>
          <w:tcPr>
            <w:tcW w:w="1994" w:type="dxa"/>
            <w:vAlign w:val="center"/>
          </w:tcPr>
          <w:p w14:paraId="7223927A" w14:textId="05AE1A62" w:rsidR="00E87977" w:rsidRPr="009536B1" w:rsidRDefault="009536B1" w:rsidP="009536B1">
            <w:pPr>
              <w:jc w:val="center"/>
              <w:rPr>
                <w:rFonts w:ascii="Century Gothic" w:eastAsia="Arial Narrow" w:hAnsi="Century Gothic" w:cs="Arial Narrow"/>
                <w:color w:val="0F243E" w:themeColor="text2" w:themeShade="80"/>
                <w:sz w:val="19"/>
                <w:szCs w:val="19"/>
              </w:rPr>
            </w:pPr>
            <w:r w:rsidRPr="009536B1">
              <w:rPr>
                <w:rFonts w:ascii="Century Gothic" w:eastAsia="Arial Narrow" w:hAnsi="Century Gothic" w:cs="Arial Narrow"/>
                <w:color w:val="0F243E" w:themeColor="text2" w:themeShade="80"/>
                <w:sz w:val="19"/>
                <w:szCs w:val="19"/>
              </w:rPr>
              <w:t>Being Me in My World</w:t>
            </w:r>
          </w:p>
        </w:tc>
        <w:tc>
          <w:tcPr>
            <w:tcW w:w="1700" w:type="dxa"/>
            <w:vAlign w:val="center"/>
          </w:tcPr>
          <w:p w14:paraId="59B73C58" w14:textId="4E46CC15" w:rsidR="00E87977" w:rsidRPr="009536B1" w:rsidRDefault="009536B1" w:rsidP="009536B1">
            <w:pPr>
              <w:jc w:val="center"/>
              <w:rPr>
                <w:rFonts w:ascii="Century Gothic" w:eastAsia="Arial" w:hAnsi="Century Gothic" w:cs="Arial"/>
                <w:color w:val="0F243E" w:themeColor="text2" w:themeShade="80"/>
                <w:sz w:val="19"/>
                <w:szCs w:val="19"/>
              </w:rPr>
            </w:pPr>
            <w:r w:rsidRPr="009536B1">
              <w:rPr>
                <w:rFonts w:ascii="Century Gothic" w:eastAsia="Arial" w:hAnsi="Century Gothic" w:cs="Arial"/>
                <w:color w:val="0F243E" w:themeColor="text2" w:themeShade="80"/>
                <w:sz w:val="19"/>
                <w:szCs w:val="19"/>
              </w:rPr>
              <w:t>Celebrating Difference</w:t>
            </w:r>
          </w:p>
        </w:tc>
        <w:tc>
          <w:tcPr>
            <w:tcW w:w="1700" w:type="dxa"/>
            <w:vAlign w:val="center"/>
          </w:tcPr>
          <w:p w14:paraId="6592D6B4" w14:textId="39CB2228" w:rsidR="00E87977" w:rsidRPr="009536B1" w:rsidRDefault="009536B1" w:rsidP="009536B1">
            <w:pPr>
              <w:jc w:val="center"/>
              <w:rPr>
                <w:rFonts w:ascii="Century Gothic" w:eastAsia="Arial" w:hAnsi="Century Gothic" w:cs="Arial"/>
                <w:color w:val="0F243E" w:themeColor="text2" w:themeShade="80"/>
                <w:sz w:val="19"/>
                <w:szCs w:val="19"/>
              </w:rPr>
            </w:pPr>
            <w:r w:rsidRPr="009536B1">
              <w:rPr>
                <w:rFonts w:ascii="Century Gothic" w:eastAsia="Arial" w:hAnsi="Century Gothic" w:cs="Arial"/>
                <w:color w:val="0F243E" w:themeColor="text2" w:themeShade="80"/>
                <w:sz w:val="19"/>
                <w:szCs w:val="19"/>
              </w:rPr>
              <w:t>Dreams and Goals</w:t>
            </w:r>
          </w:p>
        </w:tc>
        <w:tc>
          <w:tcPr>
            <w:tcW w:w="1700" w:type="dxa"/>
            <w:vAlign w:val="center"/>
          </w:tcPr>
          <w:p w14:paraId="4D43B652" w14:textId="7BE386DA" w:rsidR="00E87977" w:rsidRPr="009536B1" w:rsidRDefault="009536B1" w:rsidP="009536B1">
            <w:pPr>
              <w:jc w:val="center"/>
              <w:rPr>
                <w:rFonts w:ascii="Century Gothic" w:hAnsi="Century Gothic"/>
                <w:color w:val="0F243E" w:themeColor="text2" w:themeShade="80"/>
                <w:sz w:val="19"/>
                <w:szCs w:val="19"/>
              </w:rPr>
            </w:pPr>
            <w:r w:rsidRPr="009536B1">
              <w:rPr>
                <w:rFonts w:ascii="Century Gothic" w:hAnsi="Century Gothic"/>
                <w:color w:val="0F243E" w:themeColor="text2" w:themeShade="80"/>
                <w:sz w:val="19"/>
                <w:szCs w:val="19"/>
              </w:rPr>
              <w:t>Healthy Me</w:t>
            </w:r>
          </w:p>
        </w:tc>
        <w:tc>
          <w:tcPr>
            <w:tcW w:w="1700" w:type="dxa"/>
            <w:vAlign w:val="center"/>
          </w:tcPr>
          <w:p w14:paraId="1E45E314" w14:textId="54C9D2FB" w:rsidR="00E87977" w:rsidRPr="009536B1" w:rsidRDefault="009536B1" w:rsidP="009536B1">
            <w:pPr>
              <w:jc w:val="center"/>
              <w:rPr>
                <w:rFonts w:ascii="Century Gothic" w:hAnsi="Century Gothic"/>
                <w:color w:val="0F243E" w:themeColor="text2" w:themeShade="80"/>
                <w:sz w:val="19"/>
                <w:szCs w:val="19"/>
              </w:rPr>
            </w:pPr>
            <w:r w:rsidRPr="009536B1">
              <w:rPr>
                <w:rFonts w:ascii="Century Gothic" w:hAnsi="Century Gothic"/>
                <w:color w:val="0F243E" w:themeColor="text2" w:themeShade="80"/>
                <w:sz w:val="19"/>
                <w:szCs w:val="19"/>
              </w:rPr>
              <w:t>Relationships</w:t>
            </w:r>
          </w:p>
        </w:tc>
        <w:tc>
          <w:tcPr>
            <w:tcW w:w="1549" w:type="dxa"/>
            <w:vAlign w:val="center"/>
          </w:tcPr>
          <w:p w14:paraId="7A253E1E" w14:textId="4C098BA9" w:rsidR="00E87977" w:rsidRPr="009536B1" w:rsidRDefault="009536B1" w:rsidP="009536B1">
            <w:pPr>
              <w:jc w:val="center"/>
              <w:rPr>
                <w:rFonts w:ascii="Century Gothic" w:eastAsia="Arial" w:hAnsi="Century Gothic" w:cs="Arial"/>
                <w:color w:val="0F243E" w:themeColor="text2" w:themeShade="80"/>
                <w:sz w:val="19"/>
                <w:szCs w:val="19"/>
              </w:rPr>
            </w:pPr>
            <w:r w:rsidRPr="009536B1">
              <w:rPr>
                <w:rFonts w:ascii="Century Gothic" w:eastAsia="Arial" w:hAnsi="Century Gothic" w:cs="Arial"/>
                <w:color w:val="0F243E" w:themeColor="text2" w:themeShade="80"/>
                <w:sz w:val="19"/>
                <w:szCs w:val="19"/>
              </w:rPr>
              <w:t>Changing Me</w:t>
            </w:r>
          </w:p>
        </w:tc>
      </w:tr>
    </w:tbl>
    <w:p w14:paraId="3979EB17" w14:textId="77777777" w:rsidR="00E87977" w:rsidRPr="005C6795" w:rsidRDefault="00E87977" w:rsidP="00E87977">
      <w:pPr>
        <w:pBdr>
          <w:top w:val="nil"/>
          <w:left w:val="nil"/>
          <w:bottom w:val="nil"/>
          <w:right w:val="nil"/>
          <w:between w:val="nil"/>
        </w:pBdr>
        <w:spacing w:line="240" w:lineRule="auto"/>
        <w:ind w:left="720" w:hanging="720"/>
        <w:jc w:val="center"/>
        <w:rPr>
          <w:rFonts w:ascii="Century Gothic" w:eastAsia="Arial" w:hAnsi="Century Gothic" w:cs="Arial"/>
          <w:b/>
          <w:color w:val="000000"/>
          <w:sz w:val="2"/>
          <w:szCs w:val="2"/>
          <w:u w:val="single"/>
        </w:rPr>
      </w:pPr>
    </w:p>
    <w:p w14:paraId="719E6F12" w14:textId="240DF60E" w:rsidR="009536B1" w:rsidRPr="00E87977" w:rsidRDefault="00E87977" w:rsidP="009536B1">
      <w:pPr>
        <w:pBdr>
          <w:top w:val="nil"/>
          <w:left w:val="nil"/>
          <w:bottom w:val="nil"/>
          <w:right w:val="nil"/>
          <w:between w:val="nil"/>
        </w:pBdr>
        <w:spacing w:line="240" w:lineRule="auto"/>
        <w:ind w:left="720" w:hanging="720"/>
        <w:jc w:val="center"/>
        <w:rPr>
          <w:rFonts w:ascii="Century Gothic" w:eastAsia="Arial" w:hAnsi="Century Gothic" w:cs="Arial"/>
          <w:b/>
          <w:color w:val="244061" w:themeColor="accent1" w:themeShade="80"/>
          <w:sz w:val="20"/>
          <w:szCs w:val="20"/>
          <w:u w:val="single"/>
        </w:rPr>
      </w:pPr>
      <w:r w:rsidRPr="005C6795">
        <w:rPr>
          <w:rFonts w:ascii="Century Gothic" w:eastAsia="Arial" w:hAnsi="Century Gothic" w:cs="Arial"/>
          <w:b/>
          <w:color w:val="244061" w:themeColor="accent1" w:themeShade="80"/>
          <w:sz w:val="20"/>
          <w:szCs w:val="20"/>
          <w:u w:val="single"/>
        </w:rPr>
        <w:t>Teaching and Learning Stran</w:t>
      </w:r>
      <w:r w:rsidR="009536B1">
        <w:rPr>
          <w:rFonts w:ascii="Century Gothic" w:eastAsia="Arial" w:hAnsi="Century Gothic" w:cs="Arial"/>
          <w:b/>
          <w:color w:val="244061" w:themeColor="accent1" w:themeShade="80"/>
          <w:sz w:val="20"/>
          <w:szCs w:val="20"/>
          <w:u w:val="single"/>
        </w:rPr>
        <w:t>ds</w:t>
      </w:r>
    </w:p>
    <w:sectPr w:rsidR="009536B1" w:rsidRPr="00E87977" w:rsidSect="00572E23">
      <w:headerReference w:type="default" r:id="rId13"/>
      <w:pgSz w:w="11906" w:h="16838"/>
      <w:pgMar w:top="720" w:right="720" w:bottom="720" w:left="993"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D294" w14:textId="77777777" w:rsidR="004E6918" w:rsidRDefault="004E6918" w:rsidP="00470D68">
      <w:pPr>
        <w:spacing w:after="0" w:line="240" w:lineRule="auto"/>
      </w:pPr>
      <w:r>
        <w:separator/>
      </w:r>
    </w:p>
  </w:endnote>
  <w:endnote w:type="continuationSeparator" w:id="0">
    <w:p w14:paraId="6A7E806D" w14:textId="77777777" w:rsidR="004E6918" w:rsidRDefault="004E6918" w:rsidP="004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9CED" w14:textId="77777777" w:rsidR="004E6918" w:rsidRDefault="004E6918" w:rsidP="00470D68">
      <w:pPr>
        <w:spacing w:after="0" w:line="240" w:lineRule="auto"/>
      </w:pPr>
      <w:r>
        <w:separator/>
      </w:r>
    </w:p>
  </w:footnote>
  <w:footnote w:type="continuationSeparator" w:id="0">
    <w:p w14:paraId="7C033203" w14:textId="77777777" w:rsidR="004E6918" w:rsidRDefault="004E6918" w:rsidP="0047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4917" w14:textId="77777777" w:rsidR="00470D68" w:rsidRDefault="00470D68">
    <w:pPr>
      <w:pStyle w:val="Header"/>
    </w:pPr>
    <w:r w:rsidRPr="00470D68">
      <w:rPr>
        <w:noProof/>
        <w:sz w:val="24"/>
        <w:szCs w:val="24"/>
      </w:rPr>
      <w:drawing>
        <wp:anchor distT="0" distB="0" distL="114300" distR="114300" simplePos="0" relativeHeight="251659264" behindDoc="0" locked="0" layoutInCell="1" hidden="0" allowOverlap="1" wp14:anchorId="3AAE11DD" wp14:editId="4E740A07">
          <wp:simplePos x="0" y="0"/>
          <wp:positionH relativeFrom="margin">
            <wp:align>center</wp:align>
          </wp:positionH>
          <wp:positionV relativeFrom="paragraph">
            <wp:posOffset>-131640</wp:posOffset>
          </wp:positionV>
          <wp:extent cx="755650" cy="544830"/>
          <wp:effectExtent l="0" t="0" r="6350" b="762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50" cy="544830"/>
                  </a:xfrm>
                  <a:prstGeom prst="rect">
                    <a:avLst/>
                  </a:prstGeom>
                  <a:ln/>
                </pic:spPr>
              </pic:pic>
            </a:graphicData>
          </a:graphic>
          <wp14:sizeRelH relativeFrom="margin">
            <wp14:pctWidth>0</wp14:pctWidth>
          </wp14:sizeRelH>
          <wp14:sizeRelV relativeFrom="margin">
            <wp14:pctHeight>0</wp14:pctHeight>
          </wp14:sizeRelV>
        </wp:anchor>
      </w:drawing>
    </w:r>
  </w:p>
  <w:p w14:paraId="3AEBE4FA" w14:textId="77777777" w:rsidR="00470D68" w:rsidRDefault="0047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AAC"/>
    <w:multiLevelType w:val="multilevel"/>
    <w:tmpl w:val="33C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35F2B"/>
    <w:multiLevelType w:val="hybridMultilevel"/>
    <w:tmpl w:val="832C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74603"/>
    <w:multiLevelType w:val="multilevel"/>
    <w:tmpl w:val="227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C1928"/>
    <w:multiLevelType w:val="multilevel"/>
    <w:tmpl w:val="ACBE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0346D"/>
    <w:multiLevelType w:val="multilevel"/>
    <w:tmpl w:val="D56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0595A"/>
    <w:multiLevelType w:val="multilevel"/>
    <w:tmpl w:val="52C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01105"/>
    <w:multiLevelType w:val="multilevel"/>
    <w:tmpl w:val="4718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61F20"/>
    <w:multiLevelType w:val="multilevel"/>
    <w:tmpl w:val="958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705A5"/>
    <w:multiLevelType w:val="multilevel"/>
    <w:tmpl w:val="9576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67D60"/>
    <w:multiLevelType w:val="multilevel"/>
    <w:tmpl w:val="430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50A14"/>
    <w:multiLevelType w:val="multilevel"/>
    <w:tmpl w:val="BFF4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3"/>
  </w:num>
  <w:num w:numId="5">
    <w:abstractNumId w:val="6"/>
  </w:num>
  <w:num w:numId="6">
    <w:abstractNumId w:val="5"/>
  </w:num>
  <w:num w:numId="7">
    <w:abstractNumId w:val="9"/>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34"/>
    <w:rsid w:val="000C680B"/>
    <w:rsid w:val="0044473A"/>
    <w:rsid w:val="00446F34"/>
    <w:rsid w:val="00470D68"/>
    <w:rsid w:val="004E6918"/>
    <w:rsid w:val="00572E23"/>
    <w:rsid w:val="005C6795"/>
    <w:rsid w:val="006B2BF1"/>
    <w:rsid w:val="007A155B"/>
    <w:rsid w:val="009536B1"/>
    <w:rsid w:val="00E8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9faec"/>
    </o:shapedefaults>
    <o:shapelayout v:ext="edit">
      <o:idmap v:ext="edit" data="1"/>
    </o:shapelayout>
  </w:shapeDefaults>
  <w:decimalSymbol w:val="."/>
  <w:listSeparator w:val=","/>
  <w14:docId w14:val="766291AA"/>
  <w15:docId w15:val="{BF030E41-3C75-44A3-A77D-489C3981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68"/>
  </w:style>
  <w:style w:type="paragraph" w:styleId="Footer">
    <w:name w:val="footer"/>
    <w:basedOn w:val="Normal"/>
    <w:link w:val="FooterChar"/>
    <w:uiPriority w:val="99"/>
    <w:unhideWhenUsed/>
    <w:rsid w:val="0047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D68"/>
  </w:style>
  <w:style w:type="table" w:styleId="TableGrid">
    <w:name w:val="Table Grid"/>
    <w:basedOn w:val="TableNormal"/>
    <w:uiPriority w:val="39"/>
    <w:rsid w:val="0047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2BF1"/>
    <w:pPr>
      <w:ind w:left="720"/>
      <w:contextualSpacing/>
    </w:pPr>
  </w:style>
  <w:style w:type="character" w:styleId="Hyperlink">
    <w:name w:val="Hyperlink"/>
    <w:basedOn w:val="DefaultParagraphFont"/>
    <w:uiPriority w:val="99"/>
    <w:semiHidden/>
    <w:unhideWhenUsed/>
    <w:rsid w:val="00953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811">
      <w:bodyDiv w:val="1"/>
      <w:marLeft w:val="0"/>
      <w:marRight w:val="0"/>
      <w:marTop w:val="0"/>
      <w:marBottom w:val="0"/>
      <w:divBdr>
        <w:top w:val="none" w:sz="0" w:space="0" w:color="auto"/>
        <w:left w:val="none" w:sz="0" w:space="0" w:color="auto"/>
        <w:bottom w:val="none" w:sz="0" w:space="0" w:color="auto"/>
        <w:right w:val="none" w:sz="0" w:space="0" w:color="auto"/>
      </w:divBdr>
    </w:div>
    <w:div w:id="96293122">
      <w:bodyDiv w:val="1"/>
      <w:marLeft w:val="0"/>
      <w:marRight w:val="0"/>
      <w:marTop w:val="0"/>
      <w:marBottom w:val="0"/>
      <w:divBdr>
        <w:top w:val="none" w:sz="0" w:space="0" w:color="auto"/>
        <w:left w:val="none" w:sz="0" w:space="0" w:color="auto"/>
        <w:bottom w:val="none" w:sz="0" w:space="0" w:color="auto"/>
        <w:right w:val="none" w:sz="0" w:space="0" w:color="auto"/>
      </w:divBdr>
    </w:div>
    <w:div w:id="123087402">
      <w:bodyDiv w:val="1"/>
      <w:marLeft w:val="0"/>
      <w:marRight w:val="0"/>
      <w:marTop w:val="0"/>
      <w:marBottom w:val="0"/>
      <w:divBdr>
        <w:top w:val="none" w:sz="0" w:space="0" w:color="auto"/>
        <w:left w:val="none" w:sz="0" w:space="0" w:color="auto"/>
        <w:bottom w:val="none" w:sz="0" w:space="0" w:color="auto"/>
        <w:right w:val="none" w:sz="0" w:space="0" w:color="auto"/>
      </w:divBdr>
    </w:div>
    <w:div w:id="377780473">
      <w:bodyDiv w:val="1"/>
      <w:marLeft w:val="0"/>
      <w:marRight w:val="0"/>
      <w:marTop w:val="0"/>
      <w:marBottom w:val="0"/>
      <w:divBdr>
        <w:top w:val="none" w:sz="0" w:space="0" w:color="auto"/>
        <w:left w:val="none" w:sz="0" w:space="0" w:color="auto"/>
        <w:bottom w:val="none" w:sz="0" w:space="0" w:color="auto"/>
        <w:right w:val="none" w:sz="0" w:space="0" w:color="auto"/>
      </w:divBdr>
    </w:div>
    <w:div w:id="408582049">
      <w:bodyDiv w:val="1"/>
      <w:marLeft w:val="0"/>
      <w:marRight w:val="0"/>
      <w:marTop w:val="0"/>
      <w:marBottom w:val="0"/>
      <w:divBdr>
        <w:top w:val="none" w:sz="0" w:space="0" w:color="auto"/>
        <w:left w:val="none" w:sz="0" w:space="0" w:color="auto"/>
        <w:bottom w:val="none" w:sz="0" w:space="0" w:color="auto"/>
        <w:right w:val="none" w:sz="0" w:space="0" w:color="auto"/>
      </w:divBdr>
    </w:div>
    <w:div w:id="582177772">
      <w:bodyDiv w:val="1"/>
      <w:marLeft w:val="0"/>
      <w:marRight w:val="0"/>
      <w:marTop w:val="0"/>
      <w:marBottom w:val="0"/>
      <w:divBdr>
        <w:top w:val="none" w:sz="0" w:space="0" w:color="auto"/>
        <w:left w:val="none" w:sz="0" w:space="0" w:color="auto"/>
        <w:bottom w:val="none" w:sz="0" w:space="0" w:color="auto"/>
        <w:right w:val="none" w:sz="0" w:space="0" w:color="auto"/>
      </w:divBdr>
    </w:div>
    <w:div w:id="788083379">
      <w:bodyDiv w:val="1"/>
      <w:marLeft w:val="0"/>
      <w:marRight w:val="0"/>
      <w:marTop w:val="0"/>
      <w:marBottom w:val="0"/>
      <w:divBdr>
        <w:top w:val="none" w:sz="0" w:space="0" w:color="auto"/>
        <w:left w:val="none" w:sz="0" w:space="0" w:color="auto"/>
        <w:bottom w:val="none" w:sz="0" w:space="0" w:color="auto"/>
        <w:right w:val="none" w:sz="0" w:space="0" w:color="auto"/>
      </w:divBdr>
    </w:div>
    <w:div w:id="828324271">
      <w:bodyDiv w:val="1"/>
      <w:marLeft w:val="0"/>
      <w:marRight w:val="0"/>
      <w:marTop w:val="0"/>
      <w:marBottom w:val="0"/>
      <w:divBdr>
        <w:top w:val="none" w:sz="0" w:space="0" w:color="auto"/>
        <w:left w:val="none" w:sz="0" w:space="0" w:color="auto"/>
        <w:bottom w:val="none" w:sz="0" w:space="0" w:color="auto"/>
        <w:right w:val="none" w:sz="0" w:space="0" w:color="auto"/>
      </w:divBdr>
    </w:div>
    <w:div w:id="1048266812">
      <w:bodyDiv w:val="1"/>
      <w:marLeft w:val="0"/>
      <w:marRight w:val="0"/>
      <w:marTop w:val="0"/>
      <w:marBottom w:val="0"/>
      <w:divBdr>
        <w:top w:val="none" w:sz="0" w:space="0" w:color="auto"/>
        <w:left w:val="none" w:sz="0" w:space="0" w:color="auto"/>
        <w:bottom w:val="none" w:sz="0" w:space="0" w:color="auto"/>
        <w:right w:val="none" w:sz="0" w:space="0" w:color="auto"/>
      </w:divBdr>
    </w:div>
    <w:div w:id="1073624512">
      <w:bodyDiv w:val="1"/>
      <w:marLeft w:val="0"/>
      <w:marRight w:val="0"/>
      <w:marTop w:val="0"/>
      <w:marBottom w:val="0"/>
      <w:divBdr>
        <w:top w:val="none" w:sz="0" w:space="0" w:color="auto"/>
        <w:left w:val="none" w:sz="0" w:space="0" w:color="auto"/>
        <w:bottom w:val="none" w:sz="0" w:space="0" w:color="auto"/>
        <w:right w:val="none" w:sz="0" w:space="0" w:color="auto"/>
      </w:divBdr>
    </w:div>
    <w:div w:id="1206061048">
      <w:bodyDiv w:val="1"/>
      <w:marLeft w:val="0"/>
      <w:marRight w:val="0"/>
      <w:marTop w:val="0"/>
      <w:marBottom w:val="0"/>
      <w:divBdr>
        <w:top w:val="none" w:sz="0" w:space="0" w:color="auto"/>
        <w:left w:val="none" w:sz="0" w:space="0" w:color="auto"/>
        <w:bottom w:val="none" w:sz="0" w:space="0" w:color="auto"/>
        <w:right w:val="none" w:sz="0" w:space="0" w:color="auto"/>
      </w:divBdr>
    </w:div>
    <w:div w:id="1497916126">
      <w:bodyDiv w:val="1"/>
      <w:marLeft w:val="0"/>
      <w:marRight w:val="0"/>
      <w:marTop w:val="0"/>
      <w:marBottom w:val="0"/>
      <w:divBdr>
        <w:top w:val="none" w:sz="0" w:space="0" w:color="auto"/>
        <w:left w:val="none" w:sz="0" w:space="0" w:color="auto"/>
        <w:bottom w:val="none" w:sz="0" w:space="0" w:color="auto"/>
        <w:right w:val="none" w:sz="0" w:space="0" w:color="auto"/>
      </w:divBdr>
    </w:div>
    <w:div w:id="1568999987">
      <w:bodyDiv w:val="1"/>
      <w:marLeft w:val="0"/>
      <w:marRight w:val="0"/>
      <w:marTop w:val="0"/>
      <w:marBottom w:val="0"/>
      <w:divBdr>
        <w:top w:val="none" w:sz="0" w:space="0" w:color="auto"/>
        <w:left w:val="none" w:sz="0" w:space="0" w:color="auto"/>
        <w:bottom w:val="none" w:sz="0" w:space="0" w:color="auto"/>
        <w:right w:val="none" w:sz="0" w:space="0" w:color="auto"/>
      </w:divBdr>
    </w:div>
    <w:div w:id="1807628244">
      <w:bodyDiv w:val="1"/>
      <w:marLeft w:val="0"/>
      <w:marRight w:val="0"/>
      <w:marTop w:val="0"/>
      <w:marBottom w:val="0"/>
      <w:divBdr>
        <w:top w:val="none" w:sz="0" w:space="0" w:color="auto"/>
        <w:left w:val="none" w:sz="0" w:space="0" w:color="auto"/>
        <w:bottom w:val="none" w:sz="0" w:space="0" w:color="auto"/>
        <w:right w:val="none" w:sz="0" w:space="0" w:color="auto"/>
      </w:divBdr>
    </w:div>
    <w:div w:id="1979144946">
      <w:bodyDiv w:val="1"/>
      <w:marLeft w:val="0"/>
      <w:marRight w:val="0"/>
      <w:marTop w:val="0"/>
      <w:marBottom w:val="0"/>
      <w:divBdr>
        <w:top w:val="none" w:sz="0" w:space="0" w:color="auto"/>
        <w:left w:val="none" w:sz="0" w:space="0" w:color="auto"/>
        <w:bottom w:val="none" w:sz="0" w:space="0" w:color="auto"/>
        <w:right w:val="none" w:sz="0" w:space="0" w:color="auto"/>
      </w:divBdr>
    </w:div>
    <w:div w:id="2020082568">
      <w:bodyDiv w:val="1"/>
      <w:marLeft w:val="0"/>
      <w:marRight w:val="0"/>
      <w:marTop w:val="0"/>
      <w:marBottom w:val="0"/>
      <w:divBdr>
        <w:top w:val="none" w:sz="0" w:space="0" w:color="auto"/>
        <w:left w:val="none" w:sz="0" w:space="0" w:color="auto"/>
        <w:bottom w:val="none" w:sz="0" w:space="0" w:color="auto"/>
        <w:right w:val="none" w:sz="0" w:space="0" w:color="auto"/>
      </w:divBdr>
    </w:div>
    <w:div w:id="214441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aboutdfe/statutory/g00214676/sex-and-relationships-education-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inyquote.com/authors/wilma-rudolph-quo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22B339C50524C933FC1D3B718B4A6" ma:contentTypeVersion="13" ma:contentTypeDescription="Create a new document." ma:contentTypeScope="" ma:versionID="4ba2ebb56136baa7274d2b3f24f36d53">
  <xsd:schema xmlns:xsd="http://www.w3.org/2001/XMLSchema" xmlns:xs="http://www.w3.org/2001/XMLSchema" xmlns:p="http://schemas.microsoft.com/office/2006/metadata/properties" xmlns:ns2="c343c140-486f-48b5-a83a-5e95749c8c03" xmlns:ns3="25d6a32e-3f83-403b-9069-7d229148a98a" targetNamespace="http://schemas.microsoft.com/office/2006/metadata/properties" ma:root="true" ma:fieldsID="45721794fcdb035a50e12f041e1d589e" ns2:_="" ns3:_="">
    <xsd:import namespace="c343c140-486f-48b5-a83a-5e95749c8c03"/>
    <xsd:import namespace="25d6a32e-3f83-403b-9069-7d229148a9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3c140-486f-48b5-a83a-5e95749c8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6a32e-3f83-403b-9069-7d229148a9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D268-2C06-4CEF-A69C-737AC78EA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29726-DF0E-4007-AA0E-14159CF71B23}">
  <ds:schemaRefs>
    <ds:schemaRef ds:uri="http://schemas.microsoft.com/sharepoint/v3/contenttype/forms"/>
  </ds:schemaRefs>
</ds:datastoreItem>
</file>

<file path=customXml/itemProps3.xml><?xml version="1.0" encoding="utf-8"?>
<ds:datastoreItem xmlns:ds="http://schemas.openxmlformats.org/officeDocument/2006/customXml" ds:itemID="{0C7C73F4-2318-4CFE-A3C3-CF2362736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3c140-486f-48b5-a83a-5e95749c8c03"/>
    <ds:schemaRef ds:uri="25d6a32e-3f83-403b-9069-7d229148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4E1E0-D60A-4AC2-A1A2-B98BDCA6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Castell</dc:creator>
  <cp:lastModifiedBy>Liz Castell</cp:lastModifiedBy>
  <cp:revision>2</cp:revision>
  <cp:lastPrinted>2022-02-07T16:56:00Z</cp:lastPrinted>
  <dcterms:created xsi:type="dcterms:W3CDTF">2022-02-08T08:44:00Z</dcterms:created>
  <dcterms:modified xsi:type="dcterms:W3CDTF">2022-02-08T08:44:00Z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0x010100BCC22B339C50524C933FC1D3B718B4A6</vt:lpwstr>
  </property>
</Properties>
</file>